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0"/>
      </w:pPr>
    </w:p>
    <w:p>
      <w:pPr>
        <w:spacing w:after="60"/>
      </w:pPr>
      <w:r>
        <w:rPr>
          <w:rFonts w:ascii="Calibri" w:cs="Calibri" w:eastAsia="Calibri" w:hAnsi="Calibri"/>
          <w:b/>
          <w:bCs/>
          <w:color w:val="B5651D"/>
          <w:spacing w:val="60"/>
          <w:sz w:val="20"/>
          <w:szCs w:val="20"/>
        </w:rPr>
        <w:t xml:space="preserve">VALUE MASTERS ACADEMY</w:t>
      </w:r>
    </w:p>
    <w:p>
      <w:pPr>
        <w:spacing w:after="700"/>
      </w:pPr>
      <w:r>
        <w:rPr>
          <w:rFonts w:ascii="Calibri" w:cs="Calibri" w:eastAsia="Calibri" w:hAnsi="Calibri"/>
          <w:color w:val="5A5A5A"/>
          <w:sz w:val="18"/>
          <w:szCs w:val="18"/>
        </w:rPr>
        <w:t xml:space="preserve">Kurucular Kurulu El Kitabı · Cilt 1 · Kurul onayına sunulan çalışma taslağı</w:t>
      </w:r>
    </w:p>
    <w:p>
      <w:pPr>
        <w:spacing w:after="160"/>
      </w:pPr>
      <w:r>
        <w:rPr>
          <w:rFonts w:ascii="Georgia" w:cs="Georgia" w:eastAsia="Georgia" w:hAnsi="Georgia"/>
          <w:b/>
          <w:bCs/>
          <w:color w:val="0F2A44"/>
          <w:sz w:val="60"/>
          <w:szCs w:val="60"/>
        </w:rPr>
        <w:t xml:space="preserve">Kutunun Sahibi</w:t>
      </w:r>
    </w:p>
    <w:p>
      <w:pPr>
        <w:spacing w:after="80"/>
      </w:pPr>
      <w:r>
        <w:rPr>
          <w:rFonts w:ascii="Georgia" w:cs="Georgia" w:eastAsia="Georgia" w:hAnsi="Georgia"/>
          <w:color w:val="0F2A44"/>
          <w:sz w:val="30"/>
          <w:szCs w:val="30"/>
        </w:rPr>
        <w:t xml:space="preserve">Üçüncü Kanalda Mülk Sahibinin Rolü</w:t>
      </w:r>
    </w:p>
    <w:p>
      <w:pPr>
        <w:spacing w:after="600"/>
      </w:pPr>
      <w:r>
        <w:rPr>
          <w:rFonts w:ascii="Calibri" w:cs="Calibri" w:eastAsia="Calibri" w:hAnsi="Calibri"/>
          <w:color w:val="B5651D"/>
          <w:sz w:val="22"/>
          <w:szCs w:val="22"/>
        </w:rPr>
        <w:t xml:space="preserve">Atmosphere™ · Third Place · Third Space · Third Channel</w:t>
      </w:r>
    </w:p>
    <w:p>
      <w:pPr>
        <w:spacing w:after="40"/>
      </w:pPr>
      <w:r>
        <w:rPr>
          <w:rFonts w:ascii="Calibri" w:cs="Calibri" w:eastAsia="Calibri" w:hAnsi="Calibri"/>
          <w:color w:val="5A5A5A"/>
          <w:sz w:val="18"/>
          <w:szCs w:val="18"/>
        </w:rPr>
        <w:t xml:space="preserve">Hazırlanan taraf</w:t>
      </w:r>
    </w:p>
    <w:p>
      <w:pPr>
        <w:spacing w:after="300"/>
      </w:pPr>
      <w:r>
        <w:rPr>
          <w:rFonts w:ascii="Calibri" w:cs="Calibri" w:eastAsia="Calibri" w:hAnsi="Calibri"/>
          <w:b/>
          <w:bCs/>
          <w:color w:val="0F2A44"/>
          <w:sz w:val="24"/>
          <w:szCs w:val="24"/>
        </w:rPr>
        <w:t xml:space="preserve">A Level Alliances — Kurucular Kurulu ve İttifak Adayları</w:t>
      </w:r>
    </w:p>
    <w:p>
      <w:pPr>
        <w:spacing w:after="1200"/>
      </w:pPr>
      <w:r>
        <w:rPr>
          <w:rFonts w:ascii="Calibri" w:cs="Calibri" w:eastAsia="Calibri" w:hAnsi="Calibri"/>
          <w:color w:val="5A5A5A"/>
          <w:sz w:val="18"/>
          <w:szCs w:val="18"/>
        </w:rPr>
        <w:t xml:space="preserve">2023–2026 saha tespitleri (Memed Narin), açık kaynak karşılıklarıyla yan yana · 30 Ağustos 2026 itibarıyla doğrulanmıştır</w:t>
      </w:r>
    </w:p>
    <w:p>
      <w:pPr>
        <w:keepNext/>
        <w:pBdr>
          <w:left w:val="single" w:color="B5651D" w:sz="24" w:space="8"/>
        </w:pBdr>
        <w:shd w:fill="FBF4EC" w:color="auto" w:val="clear"/>
        <w:spacing w:after="60" w:before="120" w:line="290"/>
        <w:ind w:left="200" w:right="200"/>
      </w:pPr>
      <w:r>
        <w:rPr>
          <w:rFonts w:ascii="Calibri" w:cs="Calibri" w:eastAsia="Calibri" w:hAnsi="Calibri"/>
          <w:b/>
          <w:bCs/>
          <w:caps/>
          <w:color w:val="B5651D"/>
          <w:spacing w:val="20"/>
          <w:sz w:val="20"/>
          <w:szCs w:val="20"/>
        </w:rPr>
        <w:t xml:space="preserve">Bu el kitabı nasıl okunur</w:t>
      </w:r>
    </w:p>
    <w:p>
      <w:pPr>
        <w:pBdr>
          <w:left w:val="single" w:color="B5651D" w:sz="24" w:space="8"/>
        </w:pBdr>
        <w:shd w:fill="FBF4EC" w:color="auto" w:val="clear"/>
        <w:spacing w:after="80" w:line="290"/>
        <w:ind w:left="200" w:right="200"/>
      </w:pPr>
      <w:r>
        <w:rPr>
          <w:rFonts w:ascii="Calibri" w:cs="Calibri" w:eastAsia="Calibri" w:hAnsi="Calibri"/>
          <w:b/>
          <w:bCs/>
          <w:sz w:val="21"/>
          <w:szCs w:val="21"/>
        </w:rPr>
        <w:t xml:space="preserve">Bu bir yatırımcı sunumu değildir.</w:t>
      </w:r>
      <w:r>
        <w:rPr>
          <w:rFonts w:ascii="Calibri" w:cs="Calibri" w:eastAsia="Calibri" w:hAnsi="Calibri"/>
          <w:sz w:val="21"/>
          <w:szCs w:val="21"/>
        </w:rPr>
        <w:t xml:space="preserve"> Kurucular Kurulu için bir çalışma el kitabıdır. Her satır kurul onayına tabidir ve her bölümün altında bir karar kutusu vardır. Beş A Level Alliances belgesi (Ek A) aynı şeyi farklı anlattığında — bir metrik, bir pay, bir yapı — bu yazarın düzeltmesi gereken bir hata değildir; üç yıllık saha çalışmasının ürettiği bir bakış açısıdır ve açık kaynak karşılığıyla birlikte kurulun önüne karar maddesi olarak konur.</w:t>
      </w:r>
    </w:p>
    <w:p>
      <w:pPr>
        <w:pBdr>
          <w:left w:val="single" w:color="B5651D" w:sz="24" w:space="8"/>
        </w:pBdr>
        <w:shd w:fill="FBF4EC" w:color="auto" w:val="clear"/>
        <w:spacing w:after="80" w:line="290"/>
        <w:ind w:left="200" w:right="200"/>
      </w:pPr>
      <w:r>
        <w:rPr>
          <w:rFonts w:ascii="Calibri" w:cs="Calibri" w:eastAsia="Calibri" w:hAnsi="Calibri"/>
          <w:b/>
          <w:bCs/>
          <w:sz w:val="21"/>
          <w:szCs w:val="21"/>
        </w:rPr>
        <w:t xml:space="preserve">Metin boyunca iki etiket kullanılır. </w:t>
      </w:r>
      <w:r>
        <w:rPr>
          <w:rFonts w:ascii="Calibri" w:cs="Calibri" w:eastAsia="Calibri" w:hAnsi="Calibri"/>
          <w:b/>
          <w:bCs/>
          <w:color w:val="0F2A44"/>
          <w:sz w:val="21"/>
          <w:szCs w:val="21"/>
        </w:rPr>
        <w:t xml:space="preserve">SAHA</w:t>
      </w:r>
      <w:r>
        <w:rPr>
          <w:rFonts w:ascii="Calibri" w:cs="Calibri" w:eastAsia="Calibri" w:hAnsi="Calibri"/>
          <w:sz w:val="21"/>
          <w:szCs w:val="21"/>
        </w:rPr>
        <w:t xml:space="preserve"> Memed Narin’in saha tespitini veya ALA belgelerini; </w:t>
      </w:r>
      <w:r>
        <w:rPr>
          <w:rFonts w:ascii="Calibri" w:cs="Calibri" w:eastAsia="Calibri" w:hAnsi="Calibri"/>
          <w:b/>
          <w:bCs/>
          <w:color w:val="1F6B3A"/>
          <w:sz w:val="21"/>
          <w:szCs w:val="21"/>
        </w:rPr>
        <w:t xml:space="preserve">AÇIK KAYNAK</w:t>
      </w:r>
      <w:r>
        <w:rPr>
          <w:rFonts w:ascii="Calibri" w:cs="Calibri" w:eastAsia="Calibri" w:hAnsi="Calibri"/>
          <w:sz w:val="21"/>
          <w:szCs w:val="21"/>
        </w:rPr>
        <w:t xml:space="preserve"> Ek B’de numaralanmış kamuya açık bir kaynağı işaretler. Bunların dışındaki her rakam Value Masters Academy illüstrasyonudur ve öyle olduğu belirtilir.</w:t>
      </w:r>
    </w:p>
    <w:p>
      <w:pPr>
        <w:pBdr>
          <w:left w:val="single" w:color="B5651D" w:sz="24" w:space="8"/>
        </w:pBdr>
        <w:shd w:fill="FBF4EC" w:color="auto" w:val="clear"/>
        <w:spacing w:after="160" w:line="290"/>
        <w:ind w:left="200" w:right="200"/>
      </w:pPr>
      <w:r>
        <w:rPr>
          <w:rFonts w:ascii="Calibri" w:cs="Calibri" w:eastAsia="Calibri" w:hAnsi="Calibri"/>
          <w:b/>
          <w:bCs/>
          <w:sz w:val="21"/>
          <w:szCs w:val="21"/>
        </w:rPr>
        <w:t xml:space="preserve">Terimler. </w:t>
      </w:r>
      <w:r>
        <w:rPr>
          <w:rFonts w:ascii="Calibri" w:cs="Calibri" w:eastAsia="Calibri" w:hAnsi="Calibri"/>
          <w:sz w:val="21"/>
          <w:szCs w:val="21"/>
        </w:rPr>
        <w:t xml:space="preserve">Sektör ve finans terimleri İngilizce bırakılmış, ilk geçtikleri yerde dipnotla Türkçe karşılığı verilmiştir; tam liste Ek D’dedir.</w:t>
      </w:r>
    </w:p>
    <w:p>
      <w:pPr>
        <w:spacing w:after="120" w:line="260"/>
      </w:pPr>
      <w:r>
        <w:rPr>
          <w:rFonts w:ascii="Calibri" w:cs="Calibri" w:eastAsia="Calibri" w:hAnsi="Calibri"/>
          <w:i/>
          <w:iCs/>
          <w:color w:val="5A5A5A"/>
          <w:sz w:val="18"/>
          <w:szCs w:val="18"/>
        </w:rPr>
        <w:t xml:space="preserve">Menkul kıymet arzı değildir. Piyasa verileri kamuya açık kaynaklardan alınmıştır. ALA materyali yönetim tespiti ve projeksiyonudur ve öyle etiketlenmiştir.</w:t>
      </w:r>
    </w:p>
    <w:p>
      <w:pPr>
        <w:sectPr>
          <w:pgSz w:w="12240" w:h="15840" w:orient="portrait"/>
          <w:pgMar w:top="1440" w:right="1440" w:bottom="1440" w:left="1440" w:header="708" w:footer="708" w:gutter="0"/>
          <w:pgNumType/>
          <w:docGrid w:linePitch="360"/>
        </w:sectPr>
      </w:pPr>
    </w:p>
    <w:p>
      <w:pPr>
        <w:pStyle w:val="Heading1"/>
        <w:pBdr>
          <w:bottom w:val="single" w:color="B5651D" w:sz="6" w:space="4"/>
        </w:pBdr>
        <w:spacing w:after="180" w:before="360"/>
      </w:pPr>
      <w:r>
        <w:rPr>
          <w:rFonts w:ascii="Georgia" w:cs="Georgia" w:eastAsia="Georgia" w:hAnsi="Georgia"/>
          <w:b/>
          <w:bCs/>
          <w:color w:val="0F2A44"/>
          <w:sz w:val="34"/>
          <w:szCs w:val="34"/>
        </w:rPr>
        <w:t xml:space="preserve">0. Önce bunu okuyun — bir bardak su berraklığında</w:t>
      </w:r>
    </w:p>
    <w:p>
      <w:pPr>
        <w:spacing w:after="140" w:line="300"/>
      </w:pPr>
      <w:r>
        <w:rPr>
          <w:rFonts w:ascii="Calibri" w:cs="Calibri" w:eastAsia="Calibri" w:hAnsi="Calibri"/>
          <w:sz w:val="22"/>
          <w:szCs w:val="22"/>
        </w:rPr>
        <w:t xml:space="preserve">Üç yıl saha bir cümle üretti: AVM’nin ortak alanı, çatı altına alınmış sokaktır. Bu el kitabı, kurulun mülk sahipleri hakkında herhangi bir karar vermeden önce duyması gereken ikinci cümleyi ekler:</w:t>
      </w:r>
    </w:p>
    <w:p>
      <w:pPr>
        <w:keepNext/>
        <w:pBdr>
          <w:left w:val="single" w:color="B5651D" w:sz="24" w:space="8"/>
        </w:pBdr>
        <w:shd w:fill="FBF4EC" w:color="auto" w:val="clear"/>
        <w:spacing w:after="60" w:before="120" w:line="290"/>
        <w:ind w:left="200" w:right="200"/>
      </w:pPr>
      <w:r>
        <w:rPr>
          <w:rFonts w:ascii="Calibri" w:cs="Calibri" w:eastAsia="Calibri" w:hAnsi="Calibri"/>
          <w:b/>
          <w:bCs/>
          <w:caps/>
          <w:color w:val="B5651D"/>
          <w:spacing w:val="20"/>
          <w:sz w:val="20"/>
          <w:szCs w:val="20"/>
        </w:rPr>
        <w:t xml:space="preserve">İddia — devrilemeyecek biçimde</w:t>
      </w:r>
    </w:p>
    <w:p>
      <w:pPr>
        <w:pBdr>
          <w:left w:val="single" w:color="B5651D" w:sz="24" w:space="8"/>
        </w:pBdr>
        <w:shd w:fill="FBF4EC" w:color="auto" w:val="clear"/>
        <w:spacing w:after="160" w:line="290"/>
        <w:ind w:left="200" w:right="200"/>
      </w:pPr>
      <w:r>
        <w:rPr>
          <w:rFonts w:ascii="Calibri" w:cs="Calibri" w:eastAsia="Calibri" w:hAnsi="Calibri"/>
          <w:b/>
          <w:bCs/>
          <w:sz w:val="21"/>
          <w:szCs w:val="21"/>
        </w:rPr>
        <w:t xml:space="preserve">Amerikan perakende alanının tepesinde seyirci sorunu, dibinde ise kurtarma seçeneği yok. Her yerinde tek bir sorun var: paraya çevirme.</w:t>
      </w:r>
      <w:r>
        <w:rPr>
          <w:rFonts w:ascii="Calibri" w:cs="Calibri" w:eastAsia="Calibri" w:hAnsi="Calibri"/>
          <w:sz w:val="21"/>
          <w:szCs w:val="21"/>
        </w:rPr>
        <w:t xml:space="preserve"> İlk 100 kapalı AVM 2019 ziyaretlerinin ~%1 yakınına döndü; Class B AVM’ler hâlâ ~%10 geride, Class C doluluk kaybediyor — ve hepsi tek satırdan kazanıyor: kira. </w:t>
      </w:r>
      <w:r>
        <w:rPr>
          <w:rFonts w:ascii="Calibri" w:cs="Calibri" w:eastAsia="Calibri" w:hAnsi="Calibri"/>
          <w:b/>
          <w:bCs/>
          <w:sz w:val="21"/>
          <w:szCs w:val="21"/>
        </w:rPr>
        <w:t xml:space="preserve">Dolu kutu, tek satır; karanlık kutu, sıfır satır.</w:t>
      </w:r>
      <w:r>
        <w:rPr>
          <w:rFonts w:ascii="Calibri" w:cs="Calibri" w:eastAsia="Calibri" w:hAnsi="Calibri"/>
          <w:sz w:val="21"/>
          <w:szCs w:val="21"/>
        </w:rPr>
        <w:t xml:space="preserve"> Zemine sahip olan taraf, kendi risk modelinin içinden çok hatlı bir mekân üretemeyen tek taraftır. Üçüncü Kanalda </w:t>
      </w:r>
      <w:r>
        <w:rPr>
          <w:rFonts w:ascii="Calibri" w:cs="Calibri" w:eastAsia="Calibri" w:hAnsi="Calibri"/>
          <w:i/>
          <w:iCs/>
          <w:sz w:val="22"/>
          <w:szCs w:val="22"/>
        </w:rPr>
        <w:t xml:space="preserve">landlord</w:t>
      </w:r>
      <w:r>
        <w:rPr>
          <w:rStyle w:val="FootnoteReference"/>
        </w:rPr>
        <w:footnoteReference w:id="1"/>
      </w:r>
      <w:r>
        <w:rPr>
          <w:rFonts w:ascii="Calibri" w:cs="Calibri" w:eastAsia="Calibri" w:hAnsi="Calibri"/>
          <w:sz w:val="21"/>
          <w:szCs w:val="21"/>
        </w:rPr>
        <w:t xml:space="preserve">’ın rolü budur: zemini getir — katkıyla ya da zarar yazılmış kutunun satışıyla — ve operatörün tek satırı yediye çevirmesine izin ver.</w:t>
      </w:r>
    </w:p>
    <w:p>
      <w:pPr>
        <w:spacing w:after="140" w:line="300"/>
      </w:pPr>
      <w:r>
        <w:rPr>
          <w:rFonts w:ascii="Calibri" w:cs="Calibri" w:eastAsia="Calibri" w:hAnsi="Calibri"/>
          <w:sz w:val="22"/>
          <w:szCs w:val="22"/>
        </w:rPr>
        <w:t xml:space="preserve">Bu cildin sırasıyla yaptıkları:</w:t>
      </w:r>
    </w:p>
    <w:p>
      <w:pPr>
        <w:pStyle w:val="ListParagraph"/>
        <w:numPr>
          <w:ilvl w:val="0"/>
          <w:numId w:val="2"/>
        </w:numPr>
        <w:spacing w:after="90" w:line="290"/>
      </w:pPr>
      <w:r>
        <w:rPr>
          <w:rFonts w:ascii="Calibri" w:cs="Calibri" w:eastAsia="Calibri" w:hAnsi="Calibri"/>
          <w:b/>
          <w:bCs/>
          <w:sz w:val="22"/>
          <w:szCs w:val="22"/>
        </w:rPr>
        <w:t xml:space="preserve">Beş ALA belgesini yan yana koyar</w:t>
      </w:r>
      <w:r>
        <w:rPr>
          <w:rFonts w:ascii="Calibri" w:cs="Calibri" w:eastAsia="Calibri" w:hAnsi="Calibri"/>
          <w:sz w:val="22"/>
          <w:szCs w:val="22"/>
        </w:rPr>
        <w:t xml:space="preserve"> ve kurula bunların üç iş değil, tek zemine açılan üç kapı olduğunu gösterir (Bölüm 1).</w:t>
      </w:r>
    </w:p>
    <w:p>
      <w:pPr>
        <w:pStyle w:val="ListParagraph"/>
        <w:numPr>
          <w:ilvl w:val="0"/>
          <w:numId w:val="2"/>
        </w:numPr>
        <w:spacing w:after="90" w:line="290"/>
      </w:pPr>
      <w:r>
        <w:rPr>
          <w:rFonts w:ascii="Calibri" w:cs="Calibri" w:eastAsia="Calibri" w:hAnsi="Calibri"/>
          <w:b/>
          <w:bCs/>
          <w:sz w:val="22"/>
          <w:szCs w:val="22"/>
        </w:rPr>
        <w:t xml:space="preserve">Alt yapıyı doğrular</w:t>
      </w:r>
      <w:r>
        <w:rPr>
          <w:rFonts w:ascii="Calibri" w:cs="Calibri" w:eastAsia="Calibri" w:hAnsi="Calibri"/>
          <w:sz w:val="22"/>
          <w:szCs w:val="22"/>
        </w:rPr>
        <w:t xml:space="preserve"> — bir alacaklının, bir </w:t>
      </w:r>
      <w:r>
        <w:rPr>
          <w:rFonts w:ascii="Calibri" w:cs="Calibri" w:eastAsia="Calibri" w:hAnsi="Calibri"/>
          <w:i/>
          <w:iCs/>
          <w:sz w:val="22"/>
          <w:szCs w:val="22"/>
        </w:rPr>
        <w:t xml:space="preserve">special servicer</w:t>
      </w:r>
      <w:r>
        <w:rPr>
          <w:rStyle w:val="FootnoteReference"/>
        </w:rPr>
        <w:footnoteReference w:id="2"/>
      </w:r>
      <w:r>
        <w:rPr>
          <w:rFonts w:ascii="Calibri" w:cs="Calibri" w:eastAsia="Calibri" w:hAnsi="Calibri"/>
          <w:sz w:val="22"/>
          <w:szCs w:val="22"/>
        </w:rPr>
        <w:t xml:space="preserve">’ın ya da bir adayın masaya atabileceği her makro rakam açık kaynaktan yeniden çekilmiştir (Bölüm 2).</w:t>
      </w:r>
    </w:p>
    <w:p>
      <w:pPr>
        <w:pStyle w:val="ListParagraph"/>
        <w:numPr>
          <w:ilvl w:val="0"/>
          <w:numId w:val="2"/>
        </w:numPr>
        <w:spacing w:after="90" w:line="290"/>
      </w:pPr>
      <w:r>
        <w:rPr>
          <w:rFonts w:ascii="Calibri" w:cs="Calibri" w:eastAsia="Calibri" w:hAnsi="Calibri"/>
          <w:b/>
          <w:bCs/>
          <w:sz w:val="22"/>
          <w:szCs w:val="22"/>
        </w:rPr>
        <w:t xml:space="preserve">Mülk sahibinin rolünü kapıya göre tanımlar</w:t>
      </w:r>
      <w:r>
        <w:rPr>
          <w:rFonts w:ascii="Calibri" w:cs="Calibri" w:eastAsia="Calibri" w:hAnsi="Calibri"/>
          <w:sz w:val="22"/>
          <w:szCs w:val="22"/>
        </w:rPr>
        <w:t xml:space="preserve"> — bir kapıda ortak, diğerinde karşı taraf, üçüncüsünde satıcı (Bölüm 3–5).</w:t>
      </w:r>
    </w:p>
    <w:p>
      <w:pPr>
        <w:pStyle w:val="ListParagraph"/>
        <w:numPr>
          <w:ilvl w:val="0"/>
          <w:numId w:val="2"/>
        </w:numPr>
        <w:spacing w:after="90" w:line="290"/>
      </w:pPr>
      <w:r>
        <w:rPr>
          <w:rFonts w:ascii="Calibri" w:cs="Calibri" w:eastAsia="Calibri" w:hAnsi="Calibri"/>
          <w:b/>
          <w:bCs/>
          <w:sz w:val="22"/>
          <w:szCs w:val="22"/>
        </w:rPr>
        <w:t xml:space="preserve">Industrious argümanını kurulun anlaştığı biçimde kurar</w:t>
      </w:r>
      <w:r>
        <w:rPr>
          <w:rFonts w:ascii="Calibri" w:cs="Calibri" w:eastAsia="Calibri" w:hAnsi="Calibri"/>
          <w:sz w:val="22"/>
          <w:szCs w:val="22"/>
        </w:rPr>
        <w:t xml:space="preserve"> — yapı emsal, fiyat alıcı sınıfının kanıtı, prim ise kanıt merdiveniyle kazanılan koşullu tez (Bölüm 6).</w:t>
      </w:r>
    </w:p>
    <w:p>
      <w:pPr>
        <w:pStyle w:val="ListParagraph"/>
        <w:numPr>
          <w:ilvl w:val="0"/>
          <w:numId w:val="2"/>
        </w:numPr>
        <w:spacing w:after="90" w:line="290"/>
      </w:pPr>
      <w:r>
        <w:rPr>
          <w:rFonts w:ascii="Calibri" w:cs="Calibri" w:eastAsia="Calibri" w:hAnsi="Calibri"/>
          <w:b/>
          <w:bCs/>
          <w:sz w:val="22"/>
          <w:szCs w:val="22"/>
        </w:rPr>
        <w:t xml:space="preserve">Mülk sahibinin koltuğunu fiyatlar</w:t>
      </w:r>
      <w:r>
        <w:rPr>
          <w:rFonts w:ascii="Calibri" w:cs="Calibri" w:eastAsia="Calibri" w:hAnsi="Calibri"/>
          <w:sz w:val="22"/>
          <w:szCs w:val="22"/>
        </w:rPr>
        <w:t xml:space="preserve"> — sponsorun ekibinin yeniden kuracağı bir VMA illüstrasyonuyla (Bölüm 7).</w:t>
      </w:r>
    </w:p>
    <w:p>
      <w:pPr>
        <w:pStyle w:val="ListParagraph"/>
        <w:numPr>
          <w:ilvl w:val="0"/>
          <w:numId w:val="2"/>
        </w:numPr>
        <w:spacing w:after="90" w:line="290"/>
      </w:pPr>
      <w:r>
        <w:rPr>
          <w:rFonts w:ascii="Calibri" w:cs="Calibri" w:eastAsia="Calibri" w:hAnsi="Calibri"/>
          <w:b/>
          <w:bCs/>
          <w:sz w:val="22"/>
          <w:szCs w:val="22"/>
        </w:rPr>
        <w:t xml:space="preserve">Kurulun kendi sınavını yapar</w:t>
      </w:r>
      <w:r>
        <w:rPr>
          <w:rFonts w:ascii="Calibri" w:cs="Calibri" w:eastAsia="Calibri" w:hAnsi="Calibri"/>
          <w:sz w:val="22"/>
          <w:szCs w:val="22"/>
        </w:rPr>
        <w:t xml:space="preserve"> — “emanetten önce imtihan gelir ve bizimkiyle başlar” (Bölüm 8).</w:t>
      </w:r>
    </w:p>
    <w:p>
      <w:pPr>
        <w:pStyle w:val="ListParagraph"/>
        <w:numPr>
          <w:ilvl w:val="0"/>
          <w:numId w:val="2"/>
        </w:numPr>
        <w:spacing w:after="90" w:line="290"/>
      </w:pPr>
      <w:r>
        <w:rPr>
          <w:rFonts w:ascii="Calibri" w:cs="Calibri" w:eastAsia="Calibri" w:hAnsi="Calibri"/>
          <w:b/>
          <w:bCs/>
          <w:sz w:val="22"/>
          <w:szCs w:val="22"/>
        </w:rPr>
        <w:t xml:space="preserve">Karar sicilini açar</w:t>
      </w:r>
      <w:r>
        <w:rPr>
          <w:rFonts w:ascii="Calibri" w:cs="Calibri" w:eastAsia="Calibri" w:hAnsi="Calibri"/>
          <w:sz w:val="22"/>
          <w:szCs w:val="22"/>
        </w:rPr>
        <w:t xml:space="preserve"> — beş belge arasındaki her fark, seçenekleriyle birer kurul maddesi (Bölüm 9) ve iki </w:t>
      </w:r>
      <w:r>
        <w:rPr>
          <w:rFonts w:ascii="Calibri" w:cs="Calibri" w:eastAsia="Calibri" w:hAnsi="Calibri"/>
          <w:i/>
          <w:iCs/>
          <w:sz w:val="22"/>
          <w:szCs w:val="22"/>
        </w:rPr>
        <w:t xml:space="preserve">term sheet</w:t>
      </w:r>
      <w:r>
        <w:rPr>
          <w:rStyle w:val="FootnoteReference"/>
        </w:rPr>
        <w:footnoteReference w:id="3"/>
      </w:r>
      <w:r>
        <w:rPr>
          <w:rFonts w:ascii="Calibri" w:cs="Calibri" w:eastAsia="Calibri" w:hAnsi="Calibri"/>
          <w:sz w:val="22"/>
          <w:szCs w:val="22"/>
        </w:rPr>
        <w:t xml:space="preserve"> iskeleti (Bölüm 10).</w:t>
      </w:r>
    </w:p>
    <w:p>
      <w:pPr>
        <w:spacing w:after="140" w:line="300"/>
      </w:pPr>
      <w:r>
        <w:rPr>
          <w:rFonts w:ascii="Calibri" w:cs="Calibri" w:eastAsia="Calibri" w:hAnsi="Calibri"/>
          <w:i/>
          <w:iCs/>
          <w:sz w:val="22"/>
          <w:szCs w:val="22"/>
        </w:rPr>
        <w:t xml:space="preserve">Dil hakkında not. </w:t>
      </w:r>
      <w:r>
        <w:rPr>
          <w:rFonts w:ascii="Calibri" w:cs="Calibri" w:eastAsia="Calibri" w:hAnsi="Calibri"/>
          <w:sz w:val="22"/>
          <w:szCs w:val="22"/>
        </w:rPr>
        <w:t xml:space="preserve">Metin altyapı diliyle yazılmıştır — katman, </w:t>
      </w:r>
      <w:r>
        <w:rPr>
          <w:rFonts w:ascii="Calibri" w:cs="Calibri" w:eastAsia="Calibri" w:hAnsi="Calibri"/>
          <w:i/>
          <w:iCs/>
          <w:sz w:val="22"/>
          <w:szCs w:val="22"/>
        </w:rPr>
        <w:t xml:space="preserve">control plane</w:t>
      </w:r>
      <w:r>
        <w:rPr>
          <w:rStyle w:val="FootnoteReference"/>
        </w:rPr>
        <w:footnoteReference w:id="4"/>
      </w:r>
      <w:r>
        <w:rPr>
          <w:rFonts w:ascii="Calibri" w:cs="Calibri" w:eastAsia="Calibri" w:hAnsi="Calibri"/>
          <w:sz w:val="22"/>
          <w:szCs w:val="22"/>
        </w:rPr>
        <w:t xml:space="preserve">, kesintisizlik, getiri — çünkü Atmosphere budur: dağıtım altyapısı, dekorasyon konsepti değil. Deneyimler beğenilir; kanallar inşa edilir.</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Bölüm 0 — çerçeve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1. Beş belge, üç kapı, tek zemin</w:t>
      </w:r>
    </w:p>
    <w:p>
      <w:pPr>
        <w:spacing w:after="140" w:line="300"/>
      </w:pPr>
      <w:r>
        <w:rPr>
          <w:rFonts w:ascii="Calibri" w:cs="Calibri" w:eastAsia="Calibri" w:hAnsi="Calibri"/>
          <w:sz w:val="22"/>
          <w:szCs w:val="22"/>
        </w:rPr>
        <w:t xml:space="preserve">Kurulun önünde beş metin var. Bir bütün olarak okunduğunda bunlar beş ayrı pozisyon değil; üç kapıdan ulaşılan tek bir zemin, artı zeminin işletme kılavuzu ve pazarı boyutlandıran bir iç not. Aralarındaki farklar kurulun gündemidir.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3000"/>
        <w:gridCol w:w="2360"/>
      </w:tblGrid>
      <w:tr>
        <w:trPr>
          <w:tblHeader/>
        </w:trPr>
        <w:tc>
          <w:tcPr>
            <w:tcW w:type="dxa" w:w="20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Belge</w:t>
            </w:r>
          </w:p>
        </w:tc>
        <w:tc>
          <w:tcPr>
            <w:tcW w:type="dxa" w:w="20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Hedef okur</w:t>
            </w:r>
          </w:p>
        </w:tc>
        <w:tc>
          <w:tcPr>
            <w:tcW w:type="dxa" w:w="30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Ne öneriyor</w:t>
            </w:r>
          </w:p>
        </w:tc>
        <w:tc>
          <w:tcPr>
            <w:tcW w:type="dxa" w:w="23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Mülk sahibi nasıl görünüyor</w:t>
            </w:r>
          </w:p>
        </w:tc>
      </w:tr>
      <w:tr>
        <w:trPr>
          <w:cantSplit/>
        </w:trPr>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 The Field Thesis (Tem 2026)</w:t>
            </w:r>
          </w:p>
        </w:tc>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Tek bir ABD müttefiki — ulusal saha gücü olan işletme şirketi</w:t>
            </w:r>
          </w:p>
        </w:tc>
        <w:tc>
          <w:tcPr>
            <w:tcW w:type="dxa" w:w="3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Boş anchor kutuları, yedi gelir hattının tek P&amp;L olarak çalıştığı mekânlara dönüşür; ilk PEIT™ içinde</w:t>
            </w:r>
          </w:p>
        </w:tc>
        <w:tc>
          <w:tcPr>
            <w:tcW w:type="dxa" w:w="23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Kira yerine %20 kurucu hisse</w:t>
            </w:r>
          </w:p>
        </w:tc>
      </w:tr>
      <w:tr>
        <w:trPr>
          <w:cantSplit/>
        </w:trPr>
        <w:tc>
          <w:tcPr>
            <w:tcW w:type="dxa" w:w="2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B · Third Place at Atmosphere (sponsor daveti)</w:t>
            </w:r>
          </w:p>
        </w:tc>
        <w:tc>
          <w:tcPr>
            <w:tcW w:type="dxa" w:w="2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Tohum sponsor marka</w:t>
            </w:r>
          </w:p>
        </w:tc>
        <w:tc>
          <w:tcPr>
            <w:tcW w:type="dxa" w:w="3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Zeminin kendisi: Maya’nın günü, dört sistem, yedi hat, RevPAM (kullanılabilir metre başına gelir), REIT-artı-operatör olarak PEIT</w:t>
            </w:r>
          </w:p>
        </w:tc>
        <w:tc>
          <w:tcPr>
            <w:tcW w:type="dxa" w:w="23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Örtük; ürün mekânın kendisi</w:t>
            </w:r>
          </w:p>
        </w:tc>
      </w:tr>
      <w:tr>
        <w:trPr>
          <w:cantSplit/>
        </w:trPr>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 A Special Situation (Ağu 2026)</w:t>
            </w:r>
          </w:p>
        </w:tc>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Kurucunun girişimi için ABD’li hami sponsor</w:t>
            </w:r>
          </w:p>
        </w:tc>
        <w:tc>
          <w:tcPr>
            <w:tcW w:type="dxa" w:w="3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NPL işlemi: zarar yazıldıktan sonra senedi ya da kutuyu al; üstüne kredi destekli kira havuzu koy; çıkışı kira üzerinden yap</w:t>
            </w:r>
          </w:p>
        </w:tc>
        <w:tc>
          <w:tcPr>
            <w:tcW w:type="dxa" w:w="23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Ortak değil — kutu servicer’dan alınır; AVM sahibi REA / co-tenancy karşı tarafıdır</w:t>
            </w:r>
          </w:p>
        </w:tc>
      </w:tr>
      <w:tr>
        <w:trPr>
          <w:cantSplit/>
        </w:trPr>
        <w:tc>
          <w:tcPr>
            <w:tcW w:type="dxa" w:w="2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 · One Box (C’nin eki)</w:t>
            </w:r>
          </w:p>
        </w:tc>
        <w:tc>
          <w:tcPr>
            <w:tcW w:type="dxa" w:w="2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Kredi okuyucusu</w:t>
            </w:r>
          </w:p>
        </w:tc>
        <w:tc>
          <w:tcPr>
            <w:tcW w:type="dxa" w:w="3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Yedi hat üç kovaya ayrılır: rehinli, rezerv, artı-değer; ~40.000 sq ft kutu; RevPAM (kullanılabilir üye başına gelir); PropCo / OpCo / MemberCo; “sponsorun ekibi odaya girene kadar P&amp;L yok”</w:t>
            </w:r>
          </w:p>
        </w:tc>
        <w:tc>
          <w:tcPr>
            <w:tcW w:type="dxa" w:w="23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ile aynı</w:t>
            </w:r>
          </w:p>
        </w:tc>
      </w:tr>
      <w:tr>
        <w:trPr>
          <w:cantSplit/>
        </w:trPr>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 REIT 2.0 (iç not)</w:t>
            </w:r>
          </w:p>
        </w:tc>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Kurucular (Türkçe)</w:t>
            </w:r>
          </w:p>
        </w:tc>
        <w:tc>
          <w:tcPr>
            <w:tcW w:type="dxa" w:w="3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Pazar boyutlandırma; ilk mülk sahibi olarak CBL; %40 mülk sahibi / %20 Capital Partner; taban garantisi; 90 günlük kurulum; penetrasyon senaryoları</w:t>
            </w:r>
          </w:p>
        </w:tc>
        <w:tc>
          <w:tcPr>
            <w:tcW w:type="dxa" w:w="23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Ayni katkıyla PEIT Alliances Corp.’un %40’ı</w:t>
            </w:r>
          </w:p>
        </w:tc>
      </w:tr>
    </w:tbl>
    <w:p>
      <w:pPr>
        <w:spacing w:after="120"/>
      </w:pPr>
    </w:p>
    <w:p>
      <w:pPr>
        <w:pStyle w:val="Heading2"/>
        <w:spacing w:after="120" w:before="260"/>
      </w:pPr>
      <w:r>
        <w:rPr>
          <w:rFonts w:ascii="Georgia" w:cs="Georgia" w:eastAsia="Georgia" w:hAnsi="Georgia"/>
          <w:b/>
          <w:bCs/>
          <w:color w:val="0F2A44"/>
          <w:sz w:val="26"/>
          <w:szCs w:val="26"/>
        </w:rPr>
        <w:t xml:space="preserve">1.1 Üç kapı</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100"/>
        <w:gridCol w:w="2300"/>
        <w:gridCol w:w="1300"/>
        <w:gridCol w:w="2160"/>
      </w:tblGrid>
      <w:tr>
        <w:trPr>
          <w:tblHeader/>
        </w:trPr>
        <w:tc>
          <w:tcPr>
            <w:tcW w:type="dxa" w:w="15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Kapı</w:t>
            </w:r>
          </w:p>
        </w:tc>
        <w:tc>
          <w:tcPr>
            <w:tcW w:type="dxa" w:w="21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Zemini kim getiriyor</w:t>
            </w:r>
          </w:p>
        </w:tc>
        <w:tc>
          <w:tcPr>
            <w:tcW w:type="dxa" w:w="23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Mülk sahibinin ekonomik koltuğu</w:t>
            </w:r>
          </w:p>
        </w:tc>
        <w:tc>
          <w:tcPr>
            <w:tcW w:type="dxa" w:w="13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Belge</w:t>
            </w:r>
          </w:p>
        </w:tc>
        <w:tc>
          <w:tcPr>
            <w:tcW w:type="dxa" w:w="21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Ne zaman uygun</w:t>
            </w:r>
          </w:p>
        </w:tc>
      </w:tr>
      <w:tr>
        <w:trPr>
          <w:cantSplit/>
        </w:trPr>
        <w:tc>
          <w:tcPr>
            <w:tcW w:type="dxa" w:w="1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Kapı 1 · Katkı</w:t>
            </w:r>
          </w:p>
        </w:tc>
        <w:tc>
          <w:tcPr>
            <w:tcW w:type="dxa" w:w="21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AVM sahibi kullanım haklarını ayni koyar</w:t>
            </w:r>
          </w:p>
        </w:tc>
        <w:tc>
          <w:tcPr>
            <w:tcW w:type="dxa" w:w="2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Kurucu hisse (A’da %20; E’de %40) + operatörün garanti ettiği kira tabanı</w:t>
            </w:r>
          </w:p>
        </w:tc>
        <w:tc>
          <w:tcPr>
            <w:tcW w:type="dxa" w:w="1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E</w:t>
            </w:r>
          </w:p>
        </w:tc>
        <w:tc>
          <w:tcPr>
            <w:tcW w:type="dxa" w:w="21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Sahip sağlam, kalmak istiyor, dönüşümü fonlayamıyor; kutu teminat içinde ya da sahibin kontrolünde</w:t>
            </w:r>
          </w:p>
        </w:tc>
      </w:tr>
      <w:tr>
        <w:trPr>
          <w:cantSplit/>
        </w:trPr>
        <w:tc>
          <w:tcPr>
            <w:tcW w:type="dxa" w:w="1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Kapı 2 · Satın alma</w:t>
            </w:r>
          </w:p>
        </w:tc>
        <w:tc>
          <w:tcPr>
            <w:tcW w:type="dxa" w:w="21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Edinim aracı special servicer’dan senedi/REO’yu/DPO’yu alır</w:t>
            </w:r>
          </w:p>
        </w:tc>
        <w:tc>
          <w:tcPr>
            <w:tcW w:type="dxa" w:w="2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Yok — AVM sahibi karşı taraftır (REA, co-tenancy, otopark); kutunun mülk sahibi araç olur</w:t>
            </w:r>
          </w:p>
        </w:tc>
        <w:tc>
          <w:tcPr>
            <w:tcW w:type="dxa" w:w="1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D</w:t>
            </w:r>
          </w:p>
        </w:tc>
        <w:tc>
          <w:tcPr>
            <w:tcW w:type="dxa" w:w="21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Kredi zaten zarar yazılmış; sahip çekilmiş ya da çekiliyor; kutu ayrı parselli</w:t>
            </w:r>
          </w:p>
        </w:tc>
      </w:tr>
      <w:tr>
        <w:trPr>
          <w:cantSplit/>
        </w:trPr>
        <w:tc>
          <w:tcPr>
            <w:tcW w:type="dxa" w:w="1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Kapı 3 · Sponsorluk</w:t>
            </w:r>
          </w:p>
        </w:tc>
        <w:tc>
          <w:tcPr>
            <w:tcW w:type="dxa" w:w="21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Kapı 1 ya da 2 ile kutuyu tutan kimse</w:t>
            </w:r>
          </w:p>
        </w:tc>
        <w:tc>
          <w:tcPr>
            <w:tcW w:type="dxa" w:w="2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Değişmez; tohum sponsor %10 royalti ve kapıdaki ismi alır</w:t>
            </w:r>
          </w:p>
        </w:tc>
        <w:tc>
          <w:tcPr>
            <w:tcW w:type="dxa" w:w="1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B</w:t>
            </w:r>
          </w:p>
        </w:tc>
        <w:tc>
          <w:tcPr>
            <w:tcW w:type="dxa" w:w="21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Kutu güvence altına alındıktan sonra her iki kapının üstüne</w:t>
            </w:r>
          </w:p>
        </w:tc>
      </w:tr>
    </w:tbl>
    <w:p>
      <w:pPr>
        <w:spacing w:after="120"/>
      </w:pPr>
    </w:p>
    <w:p>
      <w:pPr>
        <w:keepNext/>
        <w:pBdr>
          <w:left w:val="single" w:color="1F6B3A" w:sz="24" w:space="8"/>
        </w:pBdr>
        <w:shd w:fill="FBF4EC" w:color="auto" w:val="clear"/>
        <w:spacing w:after="60" w:before="120" w:line="290"/>
        <w:ind w:left="200" w:right="200"/>
      </w:pPr>
      <w:r>
        <w:rPr>
          <w:rFonts w:ascii="Calibri" w:cs="Calibri" w:eastAsia="Calibri" w:hAnsi="Calibri"/>
          <w:b/>
          <w:bCs/>
          <w:caps/>
          <w:color w:val="1F6B3A"/>
          <w:spacing w:val="20"/>
          <w:sz w:val="20"/>
          <w:szCs w:val="20"/>
        </w:rPr>
        <w:t xml:space="preserve">Mülk sahibi bölümü için bunun önemi</w:t>
      </w:r>
    </w:p>
    <w:p>
      <w:pPr>
        <w:pBdr>
          <w:left w:val="single" w:color="1F6B3A" w:sz="24" w:space="8"/>
        </w:pBdr>
        <w:shd w:fill="FBF4EC" w:color="auto" w:val="clear"/>
        <w:spacing w:after="160" w:line="290"/>
        <w:ind w:left="200" w:right="200"/>
      </w:pPr>
      <w:r>
        <w:rPr>
          <w:rFonts w:ascii="Calibri" w:cs="Calibri" w:eastAsia="Calibri" w:hAnsi="Calibri"/>
          <w:sz w:val="21"/>
          <w:szCs w:val="21"/>
        </w:rPr>
        <w:t xml:space="preserve">“Mülk sahibinin rolü” ifadesi kapıya göre iki farklı anlama gelir. Kapı 1’de mülk sahibi kurucu hissedardır; Kapı 2’de aracın konsentlerine ihtiyaç duyduğu komşudur. İkisi de gerçektir, ikisi de belgelerdedir; kurul hangi kapının uygulanacağına doktrine göre değil, varlığa göre karar vermelidir. Bu yüzden Bölüm 5 rolü iki kez tanımlar.</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Madde 1.1 — üç kapı çerçevesi</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2. Alt yapı — saha tespiti, açık kaynağın yanında</w:t>
      </w:r>
    </w:p>
    <w:p>
      <w:pPr>
        <w:spacing w:after="140" w:line="300"/>
      </w:pPr>
      <w:r>
        <w:rPr>
          <w:rFonts w:ascii="Calibri" w:cs="Calibri" w:eastAsia="Calibri" w:hAnsi="Calibri"/>
          <w:sz w:val="22"/>
          <w:szCs w:val="22"/>
        </w:rPr>
        <w:t xml:space="preserve">Aşağıdaki her şey 30 Ağustos 2026’da birincil ya da birincile yakın kaynaklardan yeniden çekildi. Köşeli parantezli numaralar Ek B’ye gönderir. ALA belgelerinden gelen rakamlar SAHA olarak işaretlidir; kurul, dış dünyanın hangi rakamı tanıyacağını ve hangisinin bizim olduğunu tek bakışta görür.</w:t>
      </w:r>
    </w:p>
    <w:p>
      <w:pPr>
        <w:pStyle w:val="Heading2"/>
        <w:spacing w:after="120" w:before="260"/>
      </w:pPr>
      <w:r>
        <w:rPr>
          <w:rFonts w:ascii="Georgia" w:cs="Georgia" w:eastAsia="Georgia" w:hAnsi="Georgia"/>
          <w:b/>
          <w:bCs/>
          <w:color w:val="0F2A44"/>
          <w:sz w:val="26"/>
          <w:szCs w:val="26"/>
        </w:rPr>
        <w:t xml:space="preserve">2.1 Duvar</w:t>
      </w:r>
    </w:p>
    <w:p>
      <w:pPr>
        <w:spacing w:after="140" w:line="300"/>
      </w:pPr>
      <w:r>
        <w:rPr>
          <w:rFonts w:ascii="Calibri" w:cs="Calibri" w:eastAsia="Calibri" w:hAnsi="Calibri"/>
          <w:sz w:val="22"/>
          <w:szCs w:val="22"/>
        </w:rPr>
        <w:t xml:space="preserve">Ucuz para yıllarında %3–4 ile yazılan on yıllık </w:t>
      </w:r>
      <w:r>
        <w:rPr>
          <w:rFonts w:ascii="Calibri" w:cs="Calibri" w:eastAsia="Calibri" w:hAnsi="Calibri"/>
          <w:i/>
          <w:iCs/>
          <w:sz w:val="22"/>
          <w:szCs w:val="22"/>
        </w:rPr>
        <w:t xml:space="preserve">CRE</w:t>
      </w:r>
      <w:r>
        <w:rPr>
          <w:rStyle w:val="FootnoteReference"/>
        </w:rPr>
        <w:footnoteReference w:id="5"/>
      </w:r>
      <w:r>
        <w:rPr>
          <w:rFonts w:ascii="Calibri" w:cs="Calibri" w:eastAsia="Calibri" w:hAnsi="Calibri"/>
          <w:sz w:val="22"/>
          <w:szCs w:val="22"/>
        </w:rPr>
        <w:t xml:space="preserve"> kredileri artık %6–7 ile refinanse edilmek zorunda — ya da hiç. </w:t>
      </w:r>
      <w:r>
        <w:rPr>
          <w:rFonts w:ascii="Calibri" w:cs="Calibri" w:eastAsia="Calibri" w:hAnsi="Calibri"/>
          <w:i/>
          <w:iCs/>
          <w:sz w:val="22"/>
          <w:szCs w:val="22"/>
        </w:rPr>
        <w:t xml:space="preserve">Maturity Wall</w:t>
      </w:r>
      <w:r>
        <w:rPr>
          <w:rStyle w:val="FootnoteReference"/>
        </w:rPr>
        <w:footnoteReference w:id="6"/>
      </w:r>
      <w:r>
        <w:rPr>
          <w:rFonts w:ascii="Calibri" w:cs="Calibri" w:eastAsia="Calibri" w:hAnsi="Calibri"/>
          <w:sz w:val="22"/>
          <w:szCs w:val="22"/>
        </w:rPr>
        <w:t xml:space="preserve"> budur.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3300"/>
        <w:gridCol w:w="1800"/>
        <w:gridCol w:w="2560"/>
      </w:tblGrid>
      <w:tr>
        <w:trPr>
          <w:tblHeader/>
        </w:trPr>
        <w:tc>
          <w:tcPr>
            <w:tcW w:type="dxa" w:w="17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Olgu</w:t>
            </w:r>
          </w:p>
        </w:tc>
        <w:tc>
          <w:tcPr>
            <w:tcW w:type="dxa" w:w="33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Açık kaynak</w:t>
            </w:r>
          </w:p>
        </w:tc>
        <w:tc>
          <w:tcPr>
            <w:tcW w:type="dxa" w:w="18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Saha (ALA belgesi)</w:t>
            </w:r>
          </w:p>
        </w:tc>
        <w:tc>
          <w:tcPr>
            <w:tcW w:type="dxa" w:w="25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Kurul için okuma</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Vadesi dolan CRE borcu</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MBA: 2026’da $875B (5,0T’nin %17’si), 2027’de $652B; S&amp;P Global MI: 2026’da $1,15T, zirve 2027’de $1,26T, 2030’a kadar yılda &gt;$1T [1][2][3]</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her iki seriyi gösterir ve yöntem farkını doğru açıklar</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İki güvenilir seri, aynı yön. C’nin çerçevesi ayakta.</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Gerçekten ne kadarı ödeniyor</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2025 için planlanan $957B’nin sadece %50–55’i ödendi; Morningstar DBRS: 2026’da vadesi dolan ~$100B menkulleştirilmiş kredinin yarısından fazlası vadede ödenmeyecek; 2023’te ödeme oranı &gt;%80 [4][5]</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2026 rakamı devirle eksik; “extend and pretend” bitti, “çöz ya da sıfırla” başladı.</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2026 CMBS kesin vadeleri</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Trepp: $76,6B kesin vade; $27,3B (%36) debt yield ≤%8 — en riskli kova; %39’u 4. çeyreğe yığılmış [6]</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her iki rakamı verir</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Tüm mülk tipleri; ofis ve perakende en büyük. C’de doğru ifade edilmiş.</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Perakende CMBS gecikmesi</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Trepp: Temmuz 2026’da %6,96; Haziran artışı bölgesel AVM ve outlet kaynaklı [7][8]</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%6,96</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Uyuşuyor.</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Eski kâğıt / yeni kâğıt</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Trepp: 2016 ve öncesi yazılmış kapalı AVM CMBS kredilerinde %96,3 gecikme; 2017 sonrası sıfıra yakın [9]</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Hiçbir ALA belgesinde henüz olmayan yeni kanıt. “Eski kâğıt ölü, yeni kâğıt sadece A” cümlesini tek rakamla ispatlar.</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Kime AVM kredisi veriliyor</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Class B bölgesel AVM’ler “yeni kredi hatlarından fiilen kayboldu”; yeni CMBS trophy varlıklara gidiyor (NorthPark $900M, International Plaza $575M) [10][11]</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“yalnızca A+; Class B/C mandanın dışında”</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Destekleniyor.</w:t>
            </w:r>
          </w:p>
        </w:tc>
      </w:tr>
    </w:tbl>
    <w:p>
      <w:pPr>
        <w:spacing w:after="120"/>
      </w:pPr>
    </w:p>
    <w:p>
      <w:pPr>
        <w:pStyle w:val="Heading2"/>
        <w:spacing w:after="120" w:before="260"/>
      </w:pPr>
      <w:r>
        <w:rPr>
          <w:rFonts w:ascii="Georgia" w:cs="Georgia" w:eastAsia="Georgia" w:hAnsi="Georgia"/>
          <w:b/>
          <w:bCs/>
          <w:color w:val="0F2A44"/>
          <w:sz w:val="26"/>
          <w:szCs w:val="26"/>
        </w:rPr>
        <w:t xml:space="preserve">2.2 Ölü bir kutunun fiyatı</w:t>
      </w:r>
    </w:p>
    <w:p>
      <w:pPr>
        <w:spacing w:after="140" w:line="300"/>
      </w:pPr>
      <w:r>
        <w:rPr>
          <w:rFonts w:ascii="Calibri" w:cs="Calibri" w:eastAsia="Calibri" w:hAnsi="Calibri"/>
          <w:sz w:val="22"/>
          <w:szCs w:val="22"/>
        </w:rPr>
        <w:t xml:space="preserve">Bir </w:t>
      </w:r>
      <w:r>
        <w:rPr>
          <w:rFonts w:ascii="Calibri" w:cs="Calibri" w:eastAsia="Calibri" w:hAnsi="Calibri"/>
          <w:i/>
          <w:iCs/>
          <w:sz w:val="22"/>
          <w:szCs w:val="22"/>
        </w:rPr>
        <w:t xml:space="preserve">anchor box</w:t>
      </w:r>
      <w:r>
        <w:rPr>
          <w:rStyle w:val="FootnoteReference"/>
        </w:rPr>
        <w:footnoteReference w:id="7"/>
      </w:r>
      <w:r>
        <w:rPr>
          <w:rFonts w:ascii="Calibri" w:cs="Calibri" w:eastAsia="Calibri" w:hAnsi="Calibri"/>
          <w:sz w:val="22"/>
          <w:szCs w:val="22"/>
        </w:rPr>
        <w:t xml:space="preserve"> zarar yazıldığında piyasa ona ne ödüyor? </w:t>
      </w:r>
      <w:r>
        <w:rPr>
          <w:rFonts w:ascii="Calibri" w:cs="Calibri" w:eastAsia="Calibri" w:hAnsi="Calibri"/>
          <w:i/>
          <w:iCs/>
          <w:sz w:val="22"/>
          <w:szCs w:val="22"/>
        </w:rPr>
        <w:t xml:space="preserve">loss severity</w:t>
      </w:r>
      <w:r>
        <w:rPr>
          <w:rStyle w:val="FootnoteReference"/>
        </w:rPr>
        <w:footnoteReference w:id="8"/>
      </w:r>
      <w:r>
        <w:rPr>
          <w:rFonts w:ascii="Calibri" w:cs="Calibri" w:eastAsia="Calibri" w:hAnsi="Calibri"/>
          <w:sz w:val="22"/>
          <w:szCs w:val="22"/>
        </w:rPr>
        <w:t xml:space="preserve"> bunun ölçüsüdür; </w:t>
      </w:r>
      <w:r>
        <w:rPr>
          <w:rFonts w:ascii="Calibri" w:cs="Calibri" w:eastAsia="Calibri" w:hAnsi="Calibri"/>
          <w:i/>
          <w:iCs/>
          <w:sz w:val="22"/>
          <w:szCs w:val="22"/>
        </w:rPr>
        <w:t xml:space="preserve">special servicer</w:t>
      </w:r>
      <w:r>
        <w:rPr>
          <w:rFonts w:ascii="Calibri" w:cs="Calibri" w:eastAsia="Calibri" w:hAnsi="Calibri"/>
          <w:sz w:val="22"/>
          <w:szCs w:val="22"/>
        </w:rPr>
        <w:t xml:space="preserve"> ise satıcı.</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3300"/>
        <w:gridCol w:w="1800"/>
        <w:gridCol w:w="2560"/>
      </w:tblGrid>
      <w:tr>
        <w:trPr>
          <w:tblHeader/>
        </w:trPr>
        <w:tc>
          <w:tcPr>
            <w:tcW w:type="dxa" w:w="17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Olgu</w:t>
            </w:r>
          </w:p>
        </w:tc>
        <w:tc>
          <w:tcPr>
            <w:tcW w:type="dxa" w:w="33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Açık kaynak</w:t>
            </w:r>
          </w:p>
        </w:tc>
        <w:tc>
          <w:tcPr>
            <w:tcW w:type="dxa" w:w="18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Saha (ALA belgesi)</w:t>
            </w:r>
          </w:p>
        </w:tc>
        <w:tc>
          <w:tcPr>
            <w:tcW w:type="dxa" w:w="25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Kurul için okuma</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Pecanland Mall (Monroe, LA)</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CREFC/Trepp: REO Mayıs 2026’da Kohan’a satıldı; $54,45M gerçekleşmiş zarar; elden çıkarma öncesi bakiyede %80,9 kayıp şiddeti [12][13]</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%80,9</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Uyuşuyor. AVM veri noktası budur.</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Mayıs 2026 tasfiyeleri</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On kredi, $162,7M gerçekleşmiş zarar, %72,7 toplu kayıp şiddeti; onun yedisi ofis, en yüksek iki kayıp da ofis [12]</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%72,7, “perakendenin duvar içindeki yeri” altında</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Kurul kararı (9 Eylül): rakam tespit olarak kalır. Etiket: “tüm mülk tipleri, ofis ağırlıklı.” Bölüm 6’nın dayandığı eskime fiyatlamasını kanıtlar.</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AVM değerleri</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Green Street: A AVM’ler 2016 zirvesine göre −%45; B/C dipte yıllık −%27/−%25; Macerich (May 2026): ~900 kapalı AVM, 235’i Class A [14][15][16]</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“2019’dan beri sınıfa göre −%15 ila −%70”</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E’yi Green Street’e göre yeniden temelle; yön aynı.</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Class B/C durumu</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Green Street via CRE Daily: Class B trafiği 2019’un ~%10 altında, doluluk %89; Class C doluluk %72’nin altında; B = ABD AVM’lerinin ~%28’i [17]</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“doluluk %85”</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B/C karışımı için yakın. Green Street ayrımıyla tut.</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Çapalar ve kapanışlar</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Sears ~3.500 → &lt;10; Macy’s 2026’ya kadar 150 kapanış ≈ 12M sq ft; 2024’te 7.325 ABD mağaza kapanışı; 2025 ilk yarıda 123,7M sq ft kapandı, 74,5M açıldı [18][19][20]</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1.460 karanlık çapa / 187,5M sq ft</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E’nin çapa sayısı kaynaksız; mertebe makul. Yöntemiyle SAHA tahmini olarak sun ya da kaynaklı rakamları kullan.</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40k+ sq ft’i kim alabilir</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“40.000 sq ft ve üstünü absorbe edebilecek daha küçük bir kiracı havuzu”; çapalar en geç dönüşen alan [18]</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 birim = ~40.000 sq ft’lik tek kutu</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D’nin birimi, tam olarak backfill piyasasının absorbe edemediği alan.</w:t>
            </w:r>
          </w:p>
        </w:tc>
      </w:tr>
    </w:tbl>
    <w:p>
      <w:pPr>
        <w:spacing w:after="120"/>
      </w:pPr>
    </w:p>
    <w:p>
      <w:pPr>
        <w:pStyle w:val="Heading2"/>
        <w:spacing w:after="120" w:before="260"/>
      </w:pPr>
      <w:r>
        <w:rPr>
          <w:rFonts w:ascii="Georgia" w:cs="Georgia" w:eastAsia="Georgia" w:hAnsi="Georgia"/>
          <w:b/>
          <w:bCs/>
          <w:color w:val="0F2A44"/>
          <w:sz w:val="26"/>
          <w:szCs w:val="26"/>
        </w:rPr>
        <w:t xml:space="preserve">2.3 Seyirci — kurulun sahiplenmesi gereken düzeltme</w:t>
      </w:r>
    </w:p>
    <w:p>
      <w:pPr>
        <w:spacing w:after="140" w:line="300"/>
      </w:pPr>
      <w:r>
        <w:rPr>
          <w:rFonts w:ascii="Calibri" w:cs="Calibri" w:eastAsia="Calibri" w:hAnsi="Calibri"/>
          <w:b/>
          <w:bCs/>
          <w:sz w:val="22"/>
          <w:szCs w:val="22"/>
        </w:rPr>
        <w:t xml:space="preserve">Saha tespiti ile açık kaynak burada ayrışıyor ve bu ayrışma işe yarıyor.</w:t>
      </w:r>
      <w:r>
        <w:rPr>
          <w:rFonts w:ascii="Calibri" w:cs="Calibri" w:eastAsia="Calibri" w:hAnsi="Calibri"/>
          <w:sz w:val="22"/>
          <w:szCs w:val="22"/>
        </w:rPr>
        <w:t xml:space="preserve"> İç not (E) </w:t>
      </w:r>
      <w:r>
        <w:rPr>
          <w:rFonts w:ascii="Calibri" w:cs="Calibri" w:eastAsia="Calibri" w:hAnsi="Calibri"/>
          <w:i/>
          <w:iCs/>
          <w:sz w:val="22"/>
          <w:szCs w:val="22"/>
        </w:rPr>
        <w:t xml:space="preserve">foot traffic</w:t>
      </w:r>
      <w:r>
        <w:rPr>
          <w:rStyle w:val="FootnoteReference"/>
        </w:rPr>
        <w:footnoteReference w:id="9"/>
      </w:r>
      <w:r>
        <w:rPr>
          <w:rFonts w:ascii="Calibri" w:cs="Calibri" w:eastAsia="Calibri" w:hAnsi="Calibri"/>
          <w:sz w:val="22"/>
          <w:szCs w:val="22"/>
        </w:rPr>
        <w:t xml:space="preserve">’in 2019’a göre %40 düştüğünü, </w:t>
      </w:r>
      <w:r>
        <w:rPr>
          <w:rFonts w:ascii="Calibri" w:cs="Calibri" w:eastAsia="Calibri" w:hAnsi="Calibri"/>
          <w:i/>
          <w:iCs/>
          <w:sz w:val="22"/>
          <w:szCs w:val="22"/>
        </w:rPr>
        <w:t xml:space="preserve">dwell time</w:t>
      </w:r>
      <w:r>
        <w:rPr>
          <w:rStyle w:val="FootnoteReference"/>
        </w:rPr>
        <w:footnoteReference w:id="10"/>
      </w:r>
      <w:r>
        <w:rPr>
          <w:rFonts w:ascii="Calibri" w:cs="Calibri" w:eastAsia="Calibri" w:hAnsi="Calibri"/>
          <w:sz w:val="22"/>
          <w:szCs w:val="22"/>
        </w:rPr>
        <w:t xml:space="preserve">’ın yarıya indiğini söylüyor. Açık veri daha kesin — ve hem Kapı 1 hem Kapı 2 için daha yararlı — bir şey söylüyor.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3300"/>
        <w:gridCol w:w="1800"/>
        <w:gridCol w:w="2560"/>
      </w:tblGrid>
      <w:tr>
        <w:trPr>
          <w:tblHeader/>
        </w:trPr>
        <w:tc>
          <w:tcPr>
            <w:tcW w:type="dxa" w:w="17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Olgu</w:t>
            </w:r>
          </w:p>
        </w:tc>
        <w:tc>
          <w:tcPr>
            <w:tcW w:type="dxa" w:w="33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Açık kaynak</w:t>
            </w:r>
          </w:p>
        </w:tc>
        <w:tc>
          <w:tcPr>
            <w:tcW w:type="dxa" w:w="18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Saha (ALA belgesi)</w:t>
            </w:r>
          </w:p>
        </w:tc>
        <w:tc>
          <w:tcPr>
            <w:tcW w:type="dxa" w:w="25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Kurul için okuma</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Üst sınıf kapalı AVM’ler</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Placer.ai: 2025 2. çeyrek ziyaretleri 2019’un %1,1 altında; 2025’in dört çeyreğinde de yıllık artış; Şubat 2026 +%5 [21][22][23]</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2019’a göre −%40</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Tepede seyirci geri geldi. E’nin rakamı ayakta kalmaz.</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Class B / C AVM’ler</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Green Street: B trafiği 2019’un ~%10 altında; C doluluk kaybediyor [17]</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Dipte gelmedi. Kapı 2 evreni budur.</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Kalış süresi</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Medyan kapalı AVM ziyareti ≈ 61 dk; 2025 ilk yarıda süre +%3,3 [24]</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78 → 42 dk</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E’nin rakamını çıkar. Zaman zeminde; fiyatlanmıyor.</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B sınıfı bir AVM GYO’sunda doluluk</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CBL: %90,5 (Mar 2026); 2026 same-center NOI beklentisi %0–1,5; 85 mülk / 54,8M sq ft (2. çeyrek 2026) [25][26]</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89 mülk / 55,4M sq ft</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E’yi güncelle. Yüksek doluluk, düşük hız: dolu kutu, tek satır.</w:t>
            </w:r>
          </w:p>
        </w:tc>
      </w:tr>
    </w:tbl>
    <w:p>
      <w:pPr>
        <w:spacing w:after="120"/>
      </w:pPr>
    </w:p>
    <w:p>
      <w:pPr>
        <w:keepNext/>
        <w:pBdr>
          <w:left w:val="single" w:color="1F6B3A" w:sz="24" w:space="8"/>
        </w:pBdr>
        <w:shd w:fill="FBF4EC" w:color="auto" w:val="clear"/>
        <w:spacing w:after="60" w:before="120" w:line="290"/>
        <w:ind w:left="200" w:right="200"/>
      </w:pPr>
      <w:r>
        <w:rPr>
          <w:rFonts w:ascii="Calibri" w:cs="Calibri" w:eastAsia="Calibri" w:hAnsi="Calibri"/>
          <w:b/>
          <w:bCs/>
          <w:caps/>
          <w:color w:val="1F6B3A"/>
          <w:spacing w:val="20"/>
          <w:sz w:val="20"/>
          <w:szCs w:val="20"/>
        </w:rPr>
        <w:t xml:space="preserve">Düzeltme her iki kapıyı neden güçlendirir</w:t>
      </w:r>
    </w:p>
    <w:p>
      <w:pPr>
        <w:pBdr>
          <w:left w:val="single" w:color="1F6B3A" w:sz="24" w:space="8"/>
        </w:pBdr>
        <w:shd w:fill="FBF4EC" w:color="auto" w:val="clear"/>
        <w:spacing w:after="160" w:line="290"/>
        <w:ind w:left="200" w:right="200"/>
      </w:pPr>
      <w:r>
        <w:rPr>
          <w:rFonts w:ascii="Calibri" w:cs="Calibri" w:eastAsia="Calibri" w:hAnsi="Calibri"/>
          <w:sz w:val="21"/>
          <w:szCs w:val="21"/>
        </w:rPr>
        <w:t xml:space="preserve">Kapı 1 (katkı), seyircinin mevcut ve ölçülmüş olduğu yerde — üst sınıf kutuda — çalışır: tutsak iş hacmi üzerine bir paraya çevirme bahsi; havalimanlarının sokak mobilyasına karşı kazandığı bahis. Kapı 2 (satın alma), seyircinin seyreldiği ve kredinin zarar yazıldığı yerde — Class B/C kutuda — çalışır: değerin kaynağının AVM değil operatör olduğu bir NPL bahsi. Bir düzeltme, iki kapı, delik yok.</w:t>
      </w:r>
    </w:p>
    <w:p>
      <w:pPr>
        <w:pStyle w:val="Heading2"/>
        <w:spacing w:after="120" w:before="260"/>
      </w:pPr>
      <w:r>
        <w:rPr>
          <w:rFonts w:ascii="Georgia" w:cs="Georgia" w:eastAsia="Georgia" w:hAnsi="Georgia"/>
          <w:b/>
          <w:bCs/>
          <w:color w:val="0F2A44"/>
          <w:sz w:val="26"/>
          <w:szCs w:val="26"/>
        </w:rPr>
        <w:t xml:space="preserve">2.4 Zemini arayan para</w:t>
      </w:r>
    </w:p>
    <w:p>
      <w:pPr>
        <w:spacing w:after="140" w:line="300"/>
      </w:pPr>
      <w:r>
        <w:rPr>
          <w:rFonts w:ascii="Calibri" w:cs="Calibri" w:eastAsia="Calibri" w:hAnsi="Calibri"/>
          <w:sz w:val="22"/>
          <w:szCs w:val="22"/>
        </w:rPr>
        <w:t xml:space="preserve">Perakendecinin kendi mekânını mecra olarak satması — </w:t>
      </w:r>
      <w:r>
        <w:rPr>
          <w:rFonts w:ascii="Calibri" w:cs="Calibri" w:eastAsia="Calibri" w:hAnsi="Calibri"/>
          <w:i/>
          <w:iCs/>
          <w:sz w:val="22"/>
          <w:szCs w:val="22"/>
        </w:rPr>
        <w:t xml:space="preserve">retail media</w:t>
      </w:r>
      <w:r>
        <w:rPr>
          <w:rStyle w:val="FootnoteReference"/>
        </w:rPr>
        <w:footnoteReference w:id="11"/>
      </w:r>
      <w:r>
        <w:rPr>
          <w:rFonts w:ascii="Calibri" w:cs="Calibri" w:eastAsia="Calibri" w:hAnsi="Calibri"/>
          <w:sz w:val="22"/>
          <w:szCs w:val="22"/>
        </w:rPr>
        <w:t xml:space="preserve"> — ABD reklam pazarının en hızlı büyüyen kalemi; </w:t>
      </w:r>
      <w:r>
        <w:rPr>
          <w:rFonts w:ascii="Calibri" w:cs="Calibri" w:eastAsia="Calibri" w:hAnsi="Calibri"/>
          <w:i/>
          <w:iCs/>
          <w:sz w:val="22"/>
          <w:szCs w:val="22"/>
        </w:rPr>
        <w:t xml:space="preserve">specialty leasing</w:t>
      </w:r>
      <w:r>
        <w:rPr>
          <w:rStyle w:val="FootnoteReference"/>
        </w:rPr>
        <w:footnoteReference w:id="12"/>
      </w:r>
      <w:r>
        <w:rPr>
          <w:rFonts w:ascii="Calibri" w:cs="Calibri" w:eastAsia="Calibri" w:hAnsi="Calibri"/>
          <w:sz w:val="22"/>
          <w:szCs w:val="22"/>
        </w:rPr>
        <w:t xml:space="preserve"> ise AVM’nin zaten defterinde olan ama en az yönettiği satır.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4100"/>
        <w:gridCol w:w="3360"/>
      </w:tblGrid>
      <w:tr>
        <w:trPr>
          <w:tblHeader/>
        </w:trPr>
        <w:tc>
          <w:tcPr>
            <w:tcW w:type="dxa" w:w="19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Olgu</w:t>
            </w:r>
          </w:p>
        </w:tc>
        <w:tc>
          <w:tcPr>
            <w:tcW w:type="dxa" w:w="41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Açık kaynak</w:t>
            </w:r>
          </w:p>
        </w:tc>
        <w:tc>
          <w:tcPr>
            <w:tcW w:type="dxa" w:w="33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Kurul için okuma</w:t>
            </w:r>
          </w:p>
        </w:tc>
      </w:tr>
      <w:tr>
        <w:trPr>
          <w:cantSplit/>
        </w:trPr>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ABD retail media</w:t>
            </w:r>
          </w:p>
        </w:tc>
        <w:tc>
          <w:tcPr>
            <w:tcW w:type="dxa" w:w="41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2026’da $71–73B, yıllık +%18–20; Amazon + Walmart ≈ %88’i [27][28]</w:t>
            </w:r>
          </w:p>
        </w:tc>
        <w:tc>
          <w:tcPr>
            <w:tcW w:type="dxa" w:w="33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İki şirketin sahip olduğu $70B’lik havuz — fiziksel zemin hariç.</w:t>
            </w:r>
          </w:p>
        </w:tc>
      </w:tr>
      <w:tr>
        <w:trPr>
          <w:cantSplit/>
        </w:trPr>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Mağaza içi retail media</w:t>
            </w:r>
          </w:p>
        </w:tc>
        <w:tc>
          <w:tcPr>
            <w:tcW w:type="dxa" w:w="41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2026’da +%33 ama havuzun %1’inin altında; tüketici harcamasının %80’i mağazada, retail media’nın ~%90’ı online [27][29]</w:t>
            </w:r>
          </w:p>
        </w:tc>
        <w:tc>
          <w:tcPr>
            <w:tcW w:type="dxa" w:w="33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Amerikan reklamcılığındaki en büyük uyumsuzluk. Zemin satılmamış envanter; One Box’ta Kova 1 hat 03 buraya düşer.</w:t>
            </w:r>
          </w:p>
        </w:tc>
      </w:tr>
      <w:tr>
        <w:trPr>
          <w:cantSplit/>
        </w:trPr>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Bugün specialty leasing</w:t>
            </w:r>
          </w:p>
        </w:tc>
        <w:tc>
          <w:tcPr>
            <w:tcW w:type="dxa" w:w="41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“NOI’nin birkaç puanı” (Kimco); Crown American 2001’de geçici/özel kiralamadan gelirinin %5’ini elde etti [30][31]</w:t>
            </w:r>
          </w:p>
        </w:tc>
        <w:tc>
          <w:tcPr>
            <w:tcW w:type="dxa" w:w="33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Mülk sahibi “sokağı” zaten deftere yazıyor. P&amp;L’deki en küçük, en az yönetilen satır.</w:t>
            </w:r>
          </w:p>
        </w:tc>
      </w:tr>
      <w:tr>
        <w:trPr>
          <w:cantSplit/>
        </w:trPr>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Mülk sahipleri doluluk için zaten hisse alıyor</w:t>
            </w:r>
          </w:p>
        </w:tc>
        <w:tc>
          <w:tcPr>
            <w:tcW w:type="dxa" w:w="41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Simon &amp; Brookfield JCPenney’i Chapter 11’den aldı ($1B credit bid + $300M nakit); Simon ABG hissesinde 9× kazanç raporladı [32][33]</w:t>
            </w:r>
          </w:p>
        </w:tc>
        <w:tc>
          <w:tcPr>
            <w:tcW w:type="dxa" w:w="33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Kapı 1 emsalli, yeni değil — ama emsal dünün formatını satın aldı.</w:t>
            </w:r>
          </w:p>
        </w:tc>
      </w:tr>
      <w:tr>
        <w:trPr>
          <w:cantSplit/>
        </w:trPr>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Mülk sahibi tek başına</w:t>
            </w:r>
          </w:p>
        </w:tc>
        <w:tc>
          <w:tcPr>
            <w:tcW w:type="dxa" w:w="41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Seritage 20M sq ft için ~$2,7–3B gerekti (~$135–150/sq ft); 2022’den beri tasfiyede [34][35]</w:t>
            </w:r>
          </w:p>
        </w:tc>
        <w:tc>
          <w:tcPr>
            <w:tcW w:type="dxa" w:w="33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Sahibin bilançosuyla CapEx-ağır dönüşüm, halka açık strateji olarak zaten başarısız oldu.</w:t>
            </w:r>
          </w:p>
        </w:tc>
      </w:tr>
      <w:tr>
        <w:trPr>
          <w:cantSplit/>
        </w:trPr>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Medya tek başına</w:t>
            </w:r>
          </w:p>
        </w:tc>
        <w:tc>
          <w:tcPr>
            <w:tcW w:type="dxa" w:w="41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Volta: $2B SPAC → Shell’e $169M satış → medya bölümü kapatıldı [36][37]</w:t>
            </w:r>
          </w:p>
        </w:tc>
        <w:tc>
          <w:tcPr>
            <w:tcW w:type="dxa" w:w="33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Eşik hatları bonus hatlardır. One Box bunları zaten Kova 3’e koyuyor.</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Bölüm 2 — alt yapı tabloları</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3. Katman yığını — mülk sahibi nerede oturuyor</w:t>
      </w:r>
    </w:p>
    <w:p>
      <w:pPr>
        <w:spacing w:after="140" w:line="300"/>
      </w:pPr>
      <w:r>
        <w:rPr>
          <w:rFonts w:ascii="Calibri" w:cs="Calibri" w:eastAsia="Calibri" w:hAnsi="Calibri"/>
          <w:sz w:val="22"/>
          <w:szCs w:val="22"/>
        </w:rPr>
        <w:t xml:space="preserve">Atmosphere’i bir altyapı yığını olarak okuyun, mülk sahibinin konumu kendiliğinden görünür. Her yığında fiziksel katman birim iş hacmi başına sahip olunması en ucuz, yerine konması en pahalı katmandır. Kimse bir yazılım tezini ispatlamak için hiper-ölçek veri merkezi inşa etmez; kabuğu kiralar, </w:t>
      </w:r>
      <w:r>
        <w:rPr>
          <w:rFonts w:ascii="Calibri" w:cs="Calibri" w:eastAsia="Calibri" w:hAnsi="Calibri"/>
          <w:i/>
          <w:iCs/>
          <w:sz w:val="22"/>
          <w:szCs w:val="22"/>
        </w:rPr>
        <w:t xml:space="preserve">control plane</w:t>
      </w:r>
      <w:r>
        <w:rPr>
          <w:rFonts w:ascii="Calibri" w:cs="Calibri" w:eastAsia="Calibri" w:hAnsi="Calibri"/>
          <w:sz w:val="22"/>
          <w:szCs w:val="22"/>
        </w:rPr>
        <w:t xml:space="preserve">’e sahip olur. Mülk sahibi çıplak donanımdır.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700"/>
        <w:gridCol w:w="1900"/>
        <w:gridCol w:w="3260"/>
      </w:tblGrid>
      <w:tr>
        <w:trPr>
          <w:tblHeader/>
        </w:trPr>
        <w:tc>
          <w:tcPr>
            <w:tcW w:type="dxa" w:w="15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Katman</w:t>
            </w:r>
          </w:p>
        </w:tc>
        <w:tc>
          <w:tcPr>
            <w:tcW w:type="dxa" w:w="27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Bileşen</w:t>
            </w:r>
          </w:p>
        </w:tc>
        <w:tc>
          <w:tcPr>
            <w:tcW w:type="dxa" w:w="19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Sahibi</w:t>
            </w:r>
          </w:p>
        </w:tc>
        <w:tc>
          <w:tcPr>
            <w:tcW w:type="dxa" w:w="32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Ne yapar</w:t>
            </w:r>
          </w:p>
        </w:tc>
      </w:tr>
      <w:tr>
        <w:trPr>
          <w:cantSplit/>
        </w:trPr>
        <w:tc>
          <w:tcPr>
            <w:tcW w:type="dxa" w:w="1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K6 · Talep</w:t>
            </w:r>
          </w:p>
        </w:tc>
        <w:tc>
          <w:tcPr>
            <w:tcW w:type="dxa" w:w="2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Üreticiler, DTC markalar, ABD’ye giren uluslararası markalar, içerik üreticileri, sponsorlar, saha orduları</w:t>
            </w:r>
          </w:p>
        </w:tc>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Açık pazar</w:t>
            </w:r>
          </w:p>
        </w:tc>
        <w:tc>
          <w:tcPr>
            <w:tcW w:type="dxa" w:w="32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Var olmayan bir kanalın kiracıları: zincirlerden fiyatla dışlanmış (kanal bir), pazar yerlerinden komisyonla vergilenmiş (kanal iki).</w:t>
            </w:r>
          </w:p>
        </w:tc>
      </w:tr>
      <w:tr>
        <w:trPr>
          <w:cantSplit/>
        </w:trPr>
        <w:tc>
          <w:tcPr>
            <w:tcW w:type="dxa" w:w="1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K5 · Sermaye sarmalı</w:t>
            </w:r>
          </w:p>
        </w:tc>
        <w:tc>
          <w:tcPr>
            <w:tcW w:type="dxa" w:w="2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PEIT™ (Kapı 1) ya da PropCo / OpCo / MemberCo + kira havuzu (Kapı 2)</w:t>
            </w:r>
          </w:p>
        </w:tc>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Mülk sahibi / araç, Capital Partner, Operatör</w:t>
            </w:r>
          </w:p>
        </w:tc>
        <w:tc>
          <w:tcPr>
            <w:tcW w:type="dxa" w:w="32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Sahip varlığı getirir; operatör P&amp;L’i çalıştırır; sermaye iç donatımı fonlar; kredi destekli kiralar çıkışı taşır.</w:t>
            </w:r>
          </w:p>
        </w:tc>
      </w:tr>
      <w:tr>
        <w:trPr>
          <w:cantSplit/>
        </w:trPr>
        <w:tc>
          <w:tcPr>
            <w:tcW w:type="dxa" w:w="1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K4 · Getiri</w:t>
            </w:r>
          </w:p>
        </w:tc>
        <w:tc>
          <w:tcPr>
            <w:tcW w:type="dxa" w:w="2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Fifth Signal™</w:t>
            </w:r>
          </w:p>
        </w:tc>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ALA IP</w:t>
            </w:r>
          </w:p>
        </w:tc>
        <w:tc>
          <w:tcPr>
            <w:tcW w:type="dxa" w:w="32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Ayak trafiğini ve talebi tahmin eder; masaları ve ekran slotlarını otel oda fiyatlar gibi fiyatlar.</w:t>
            </w:r>
          </w:p>
        </w:tc>
      </w:tr>
      <w:tr>
        <w:trPr>
          <w:cantSplit/>
        </w:trPr>
        <w:tc>
          <w:tcPr>
            <w:tcW w:type="dxa" w:w="1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K3 · Medya</w:t>
            </w:r>
          </w:p>
        </w:tc>
        <w:tc>
          <w:tcPr>
            <w:tcW w:type="dxa" w:w="2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PingPod™</w:t>
            </w:r>
          </w:p>
        </w:tc>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ALA IP</w:t>
            </w:r>
          </w:p>
        </w:tc>
        <w:tc>
          <w:tcPr>
            <w:tcW w:type="dxa" w:w="32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Ekran ızgarasını bölge ve saat bazında programlar ve paraya çevirir — hiçbir DOOH ya da online devin sahip olamadığı son 30 metre.</w:t>
            </w:r>
          </w:p>
        </w:tc>
      </w:tr>
      <w:tr>
        <w:trPr>
          <w:cantSplit/>
        </w:trPr>
        <w:tc>
          <w:tcPr>
            <w:tcW w:type="dxa" w:w="1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K2 · Eşleştirme</w:t>
            </w:r>
          </w:p>
        </w:tc>
        <w:tc>
          <w:tcPr>
            <w:tcW w:type="dxa" w:w="2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HuxNet™</w:t>
            </w:r>
          </w:p>
        </w:tc>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ALA IP</w:t>
            </w:r>
          </w:p>
        </w:tc>
        <w:tc>
          <w:tcPr>
            <w:tcW w:type="dxa" w:w="32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Onaylı, gizlilik-öncelikli: ayak trafiğini ilgili karşılaşmalara dönüştürür.</w:t>
            </w:r>
          </w:p>
        </w:tc>
      </w:tr>
      <w:tr>
        <w:trPr>
          <w:cantSplit/>
        </w:trPr>
        <w:tc>
          <w:tcPr>
            <w:tcW w:type="dxa" w:w="1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K1 · Mekân işletim sistemi</w:t>
            </w:r>
          </w:p>
        </w:tc>
        <w:tc>
          <w:tcPr>
            <w:tcW w:type="dxa" w:w="2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OffNdOn™</w:t>
            </w:r>
          </w:p>
        </w:tc>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ALA IP</w:t>
            </w:r>
          </w:p>
        </w:tc>
        <w:tc>
          <w:tcPr>
            <w:tcW w:type="dxa" w:w="32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Her modülü gerçek zamanlı rezerve eder, atar, güçlendirir ve aydınlatır.</w:t>
            </w:r>
          </w:p>
        </w:tc>
      </w:tr>
      <w:tr>
        <w:trPr>
          <w:cantSplit/>
        </w:trPr>
        <w:tc>
          <w:tcPr>
            <w:tcW w:type="dxa" w:w="15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K0 · Zemin</w:t>
            </w:r>
          </w:p>
        </w:tc>
        <w:tc>
          <w:tcPr>
            <w:tcW w:type="dxa" w:w="27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Anchor kutu, koridorlar, otopark, REA/co-tenancy ağı, alacaklı ilişkisi, belediye nezdinde konum</w:t>
            </w:r>
          </w:p>
        </w:tc>
        <w:tc>
          <w:tcPr>
            <w:tcW w:type="dxa" w:w="19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B5651D"/>
                <w:sz w:val="19"/>
                <w:szCs w:val="19"/>
              </w:rPr>
              <w:t xml:space="preserve">MÜLK SAHİBİ (Kapı 1) / ARAÇ + AVM SAHİBİ (Kapı 2)</w:t>
            </w:r>
          </w:p>
        </w:tc>
        <w:tc>
          <w:tcPr>
            <w:tcW w:type="dxa" w:w="326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Bulut sağlayıcıdan kiralanamaz. O olmadan hiçbir şey çalışmaz; tek başına kiradan fazlasını kazanmaz.</w:t>
            </w:r>
          </w:p>
        </w:tc>
      </w:tr>
    </w:tbl>
    <w:p>
      <w:pPr>
        <w:spacing w:after="120"/>
      </w:pPr>
    </w:p>
    <w:p>
      <w:pPr>
        <w:pStyle w:val="ListParagraph"/>
        <w:numPr>
          <w:ilvl w:val="0"/>
          <w:numId w:val="3"/>
        </w:numPr>
        <w:spacing w:after="90" w:line="290"/>
      </w:pPr>
      <w:r>
        <w:rPr>
          <w:rFonts w:ascii="Calibri" w:cs="Calibri" w:eastAsia="Calibri" w:hAnsi="Calibri"/>
          <w:b/>
          <w:bCs/>
          <w:sz w:val="22"/>
          <w:szCs w:val="22"/>
        </w:rPr>
        <w:t xml:space="preserve">Mülk sahibi K1–K4’ü inşa edemez.</w:t>
      </w:r>
      <w:r>
        <w:rPr>
          <w:rFonts w:ascii="Calibri" w:cs="Calibri" w:eastAsia="Calibri" w:hAnsi="Calibri"/>
          <w:sz w:val="22"/>
          <w:szCs w:val="22"/>
        </w:rPr>
        <w:t xml:space="preserve"> Zekâ eksikliğinden değil — izin eksikliğinden. Alacaklılar </w:t>
      </w:r>
      <w:r>
        <w:rPr>
          <w:rFonts w:ascii="Calibri" w:cs="Calibri" w:eastAsia="Calibri" w:hAnsi="Calibri"/>
          <w:i/>
          <w:iCs/>
          <w:sz w:val="22"/>
          <w:szCs w:val="22"/>
        </w:rPr>
        <w:t xml:space="preserve">credit tenant</w:t>
      </w:r>
      <w:r>
        <w:rPr>
          <w:rStyle w:val="FootnoteReference"/>
        </w:rPr>
        <w:footnoteReference w:id="13"/>
      </w:r>
      <w:r>
        <w:rPr>
          <w:rFonts w:ascii="Calibri" w:cs="Calibri" w:eastAsia="Calibri" w:hAnsi="Calibri"/>
          <w:sz w:val="22"/>
          <w:szCs w:val="22"/>
        </w:rPr>
        <w:t xml:space="preserve"> ister, GYO metrikleri aynı karışımı ödüllendirir, franchise kılavuzları mimariyi standartlaştırır. Tekdüzelik </w:t>
      </w:r>
      <w:r>
        <w:rPr>
          <w:rFonts w:ascii="Calibri" w:cs="Calibri" w:eastAsia="Calibri" w:hAnsi="Calibri"/>
          <w:i/>
          <w:iCs/>
          <w:sz w:val="22"/>
          <w:szCs w:val="22"/>
        </w:rPr>
        <w:t xml:space="preserve">underwriting</w:t>
      </w:r>
      <w:r>
        <w:rPr>
          <w:rStyle w:val="FootnoteReference"/>
        </w:rPr>
        <w:footnoteReference w:id="14"/>
      </w:r>
      <w:r>
        <w:rPr>
          <w:rFonts w:ascii="Calibri" w:cs="Calibri" w:eastAsia="Calibri" w:hAnsi="Calibri"/>
          <w:sz w:val="22"/>
          <w:szCs w:val="22"/>
        </w:rPr>
        <w:t xml:space="preserve"> tarafından dayatılır.</w:t>
      </w:r>
    </w:p>
    <w:p>
      <w:pPr>
        <w:pStyle w:val="ListParagraph"/>
        <w:numPr>
          <w:ilvl w:val="0"/>
          <w:numId w:val="3"/>
        </w:numPr>
        <w:spacing w:after="90" w:line="290"/>
      </w:pPr>
      <w:r>
        <w:rPr>
          <w:rFonts w:ascii="Calibri" w:cs="Calibri" w:eastAsia="Calibri" w:hAnsi="Calibri"/>
          <w:b/>
          <w:bCs/>
          <w:sz w:val="22"/>
          <w:szCs w:val="22"/>
        </w:rPr>
        <w:t xml:space="preserve">Operatör K0 olmadan çalışamaz.</w:t>
      </w:r>
      <w:r>
        <w:rPr>
          <w:rFonts w:ascii="Calibri" w:cs="Calibri" w:eastAsia="Calibri" w:hAnsi="Calibri"/>
          <w:sz w:val="22"/>
          <w:szCs w:val="22"/>
        </w:rPr>
        <w:t xml:space="preserve"> Zemine sahip olarak ya da kiralayarak çıkmaya çalışan her varlık-ağır operatör — otoparkta Volta, ofis katında WeWork, Sears kutusunda Seritage — bedelini tam ödedi. Sahiple ortaklık kuran her </w:t>
      </w:r>
      <w:r>
        <w:rPr>
          <w:rFonts w:ascii="Calibri" w:cs="Calibri" w:eastAsia="Calibri" w:hAnsi="Calibri"/>
          <w:i/>
          <w:iCs/>
          <w:sz w:val="22"/>
          <w:szCs w:val="22"/>
        </w:rPr>
        <w:t xml:space="preserve">asset-light</w:t>
      </w:r>
      <w:r>
        <w:rPr>
          <w:rStyle w:val="FootnoteReference"/>
        </w:rPr>
        <w:footnoteReference w:id="15"/>
      </w:r>
      <w:r>
        <w:rPr>
          <w:rFonts w:ascii="Calibri" w:cs="Calibri" w:eastAsia="Calibri" w:hAnsi="Calibri"/>
          <w:sz w:val="22"/>
          <w:szCs w:val="22"/>
        </w:rPr>
        <w:t xml:space="preserve"> operatör — Industrious, otel yöneticileri — ya satın alındı ya ayakta.</w:t>
      </w:r>
    </w:p>
    <w:p>
      <w:pPr>
        <w:spacing w:after="140" w:line="300"/>
      </w:pPr>
      <w:r>
        <w:rPr>
          <w:rFonts w:ascii="Calibri" w:cs="Calibri" w:eastAsia="Calibri" w:hAnsi="Calibri"/>
          <w:b/>
          <w:bCs/>
          <w:sz w:val="22"/>
          <w:szCs w:val="22"/>
        </w:rPr>
        <w:t xml:space="preserve">Dolayısıyla takas “kira mı hisse mi” değildir. “Kontrol düzlemi karşılığında zemin”dir.</w:t>
      </w:r>
      <w:r>
        <w:rPr>
          <w:rFonts w:ascii="Calibri" w:cs="Calibri" w:eastAsia="Calibri" w:hAnsi="Calibri"/>
          <w:sz w:val="22"/>
          <w:szCs w:val="22"/>
        </w:rPr>
        <w:t xml:space="preserve"> Kapı 1’de mülk sahibi kullanım haklarını kontrol düzleminden pay karşılığında verir. Kapı 2’de araç zemini piyasanın zarar yazma fiyatından satın alır ve kontrol düzlemini kendi getirir.</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Bölüm 3 — yığın çerçevesi</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pPr>
        <w:pStyle w:val="Heading1"/>
        <w:pBdr>
          <w:bottom w:val="single" w:color="B5651D" w:sz="6" w:space="4"/>
        </w:pBdr>
        <w:spacing w:after="180" w:before="360"/>
      </w:pPr>
      <w:r>
        <w:rPr>
          <w:rFonts w:ascii="Georgia" w:cs="Georgia" w:eastAsia="Georgia" w:hAnsi="Georgia"/>
          <w:b/>
          <w:bCs/>
          <w:color w:val="0F2A44"/>
          <w:sz w:val="34"/>
          <w:szCs w:val="34"/>
        </w:rPr>
        <w:t xml:space="preserve">4. Mülk sahibi bugün nerede — tek satırlık P&amp;L</w:t>
      </w:r>
    </w:p>
    <w:p>
      <w:pPr>
        <w:spacing w:after="140" w:line="300"/>
      </w:pPr>
      <w:r>
        <w:rPr>
          <w:rFonts w:ascii="Calibri" w:cs="Calibri" w:eastAsia="Calibri" w:hAnsi="Calibri"/>
          <w:sz w:val="22"/>
          <w:szCs w:val="22"/>
        </w:rPr>
        <w:t xml:space="preserve">Bir AVM’nin gelir tablosunu ilkellerine indirin: önemli olan tek gelir satırı asgari kira, artı geçiş kalemi olan gider yansıtmaları. Karanlık bir anchor kutu sıfır değildir — maliyet merkezidir: aydınlatılmamış 100.000–200.000 sq ft kabuğun taşıma maliyeti; sıra dükkânlar kira kesince ya da kapanınca </w:t>
      </w:r>
      <w:r>
        <w:rPr>
          <w:rFonts w:ascii="Calibri" w:cs="Calibri" w:eastAsia="Calibri" w:hAnsi="Calibri"/>
          <w:i/>
          <w:iCs/>
          <w:sz w:val="22"/>
          <w:szCs w:val="22"/>
        </w:rPr>
        <w:t xml:space="preserve">co-tenancy</w:t>
      </w:r>
      <w:r>
        <w:rPr>
          <w:rStyle w:val="FootnoteReference"/>
        </w:rPr>
        <w:footnoteReference w:id="16"/>
      </w:r>
      <w:r>
        <w:rPr>
          <w:rFonts w:ascii="Calibri" w:cs="Calibri" w:eastAsia="Calibri" w:hAnsi="Calibri"/>
          <w:sz w:val="22"/>
          <w:szCs w:val="22"/>
        </w:rPr>
        <w:t xml:space="preserve"> sızıntısı; kiralama sorununu vadede refinansman sorununa çeviren alacaklı taahhütleri; ve sıklıkla </w:t>
      </w:r>
      <w:r>
        <w:rPr>
          <w:rFonts w:ascii="Calibri" w:cs="Calibri" w:eastAsia="Calibri" w:hAnsi="Calibri"/>
          <w:i/>
          <w:iCs/>
          <w:sz w:val="22"/>
          <w:szCs w:val="22"/>
        </w:rPr>
        <w:t xml:space="preserve">non-collateral anchor</w:t>
      </w:r>
      <w:r>
        <w:rPr>
          <w:rStyle w:val="FootnoteReference"/>
        </w:rPr>
        <w:footnoteReference w:id="17"/>
      </w:r>
      <w:r>
        <w:rPr>
          <w:rFonts w:ascii="Calibri" w:cs="Calibri" w:eastAsia="Calibri" w:hAnsi="Calibri"/>
          <w:sz w:val="22"/>
          <w:szCs w:val="22"/>
        </w:rPr>
        <w:t xml:space="preserve"> statüsü — kutu AVM’nin değil, mağaza zincirinindir [38].</w:t>
      </w:r>
    </w:p>
    <w:p>
      <w:pPr>
        <w:pStyle w:val="Heading2"/>
        <w:spacing w:after="120" w:before="260"/>
      </w:pPr>
      <w:r>
        <w:rPr>
          <w:rFonts w:ascii="Georgia" w:cs="Georgia" w:eastAsia="Georgia" w:hAnsi="Georgia"/>
          <w:b/>
          <w:bCs/>
          <w:color w:val="0F2A44"/>
          <w:sz w:val="26"/>
          <w:szCs w:val="26"/>
        </w:rPr>
        <w:t xml:space="preserve">4.1 Dört cevap ve skor tablosu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2700"/>
        <w:gridCol w:w="2160"/>
      </w:tblGrid>
      <w:tr>
        <w:trPr>
          <w:tblHeader/>
        </w:trPr>
        <w:tc>
          <w:tcPr>
            <w:tcW w:type="dxa" w:w="20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Cevap</w:t>
            </w:r>
          </w:p>
        </w:tc>
        <w:tc>
          <w:tcPr>
            <w:tcW w:type="dxa" w:w="25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Nedir</w:t>
            </w:r>
          </w:p>
        </w:tc>
        <w:tc>
          <w:tcPr>
            <w:tcW w:type="dxa" w:w="27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Skor</w:t>
            </w:r>
          </w:p>
        </w:tc>
        <w:tc>
          <w:tcPr>
            <w:tcW w:type="dxa" w:w="21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Hüküm</w:t>
            </w:r>
          </w:p>
        </w:tc>
      </w:tr>
      <w:tr>
        <w:trPr>
          <w:cantSplit/>
        </w:trPr>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 Credit tenant ile backfill</w:t>
            </w:r>
          </w:p>
        </w:tc>
        <w:tc>
          <w:tcPr>
            <w:tcW w:type="dxa" w:w="2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Spor salonu, market, mobilya, eğlence — 40k+ sq ft alan</w:t>
            </w:r>
          </w:p>
        </w:tc>
        <w:tc>
          <w:tcPr>
            <w:tcW w:type="dxa" w:w="2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En iyi kutularda işler; alıcı havuzu ince [18]</w:t>
            </w:r>
          </w:p>
        </w:tc>
        <w:tc>
          <w:tcPr>
            <w:tcW w:type="dxa" w:w="21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Gerekli, yeterli değil. P&amp;L tek satırda kalır.</w:t>
            </w:r>
          </w:p>
        </w:tc>
      </w:tr>
      <w:tr>
        <w:trPr>
          <w:cantSplit/>
        </w:trPr>
        <w:tc>
          <w:tcPr>
            <w:tcW w:type="dxa" w:w="2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B · Kendi bilançosuyla yeniden geliştirme</w:t>
            </w:r>
          </w:p>
        </w:tc>
        <w:tc>
          <w:tcPr>
            <w:tcW w:type="dxa" w:w="2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Böl, cepheyi yenile, konut ekle; borç ve varlık satışıyla fonla</w:t>
            </w:r>
          </w:p>
        </w:tc>
        <w:tc>
          <w:tcPr>
            <w:tcW w:type="dxa" w:w="2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Seritage — en iyi finanse edilmiş deneme — tasfiyede [34][35]</w:t>
            </w:r>
          </w:p>
        </w:tc>
        <w:tc>
          <w:tcPr>
            <w:tcW w:type="dxa" w:w="21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%7 sermaye maliyetinde yaşamaz.</w:t>
            </w:r>
          </w:p>
        </w:tc>
      </w:tr>
      <w:tr>
        <w:trPr>
          <w:cantSplit/>
        </w:trPr>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 Kiracıyı satın al</w:t>
            </w:r>
          </w:p>
        </w:tc>
        <w:tc>
          <w:tcPr>
            <w:tcW w:type="dxa" w:w="2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Çapayı korumak için işletme şirketinde hisse</w:t>
            </w:r>
          </w:p>
        </w:tc>
        <w:tc>
          <w:tcPr>
            <w:tcW w:type="dxa" w:w="2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Simon/Brookfield/ABG: JCPenney, Forever 21, Brooks Brothers; ABG hissesi 9× [32][33]</w:t>
            </w:r>
          </w:p>
        </w:tc>
        <w:tc>
          <w:tcPr>
            <w:tcW w:type="dxa" w:w="21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Mülk sahipleri işletme şirketi hissesini zaten kabul ediyor — dünün formatı için.</w:t>
            </w:r>
          </w:p>
        </w:tc>
      </w:tr>
      <w:tr>
        <w:trPr>
          <w:cantSplit/>
        </w:trPr>
        <w:tc>
          <w:tcPr>
            <w:tcW w:type="dxa" w:w="20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D · Kapı 1 — zemini koy, operatörde hisse al</w:t>
            </w:r>
          </w:p>
        </w:tc>
        <w:tc>
          <w:tcPr>
            <w:tcW w:type="dxa" w:w="25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Ayni kullanım hakkı → kurucu hisse; operatör taban garanti eder; Capital Partner iç donatımı fonlar</w:t>
            </w:r>
          </w:p>
        </w:tc>
        <w:tc>
          <w:tcPr>
            <w:tcW w:type="dxa" w:w="27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Otel modeli (sahip + operatör + TRS); Industrious ortaklık modeli [39]</w:t>
            </w:r>
          </w:p>
        </w:tc>
        <w:tc>
          <w:tcPr>
            <w:tcW w:type="dxa" w:w="216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B5651D"/>
                <w:sz w:val="19"/>
                <w:szCs w:val="19"/>
              </w:rPr>
              <w:t xml:space="preserve">C seçeneğinin mantığı yeni formatta, nakit çıkışı yok.</w:t>
            </w:r>
          </w:p>
        </w:tc>
      </w:tr>
      <w:tr>
        <w:trPr>
          <w:cantSplit/>
        </w:trPr>
        <w:tc>
          <w:tcPr>
            <w:tcW w:type="dxa" w:w="20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D′ · Kapı 2 — kutuyu zarar yazma fiyatından sat</w:t>
            </w:r>
          </w:p>
        </w:tc>
        <w:tc>
          <w:tcPr>
            <w:tcW w:type="dxa" w:w="25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Servicer senedi/REO’yu/DPO’yu satar; araç kutunun sahibi olur; AVM sahibi geri kalanı tutar</w:t>
            </w:r>
          </w:p>
        </w:tc>
        <w:tc>
          <w:tcPr>
            <w:tcW w:type="dxa" w:w="27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Pecanland: %80,9 kayıp; Kohan/Namdar AVM’yi AVM olarak işletmek için alır — araç kutuyu kanal olarak işletmek için alır [12][13]</w:t>
            </w:r>
          </w:p>
        </w:tc>
        <w:tc>
          <w:tcPr>
            <w:tcW w:type="dxa" w:w="216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B5651D"/>
                <w:sz w:val="19"/>
                <w:szCs w:val="19"/>
              </w:rPr>
              <w:t xml:space="preserve">AVM sahibi bir yükümlülükten çıkar; komşu canlı bir çapa kazanır.</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Bölüm 4 — mülk sahibi skor tablosu</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5. Mülk sahibinin rolü — iki kez tanımlanmış</w:t>
      </w:r>
    </w:p>
    <w:p>
      <w:pPr>
        <w:pStyle w:val="Heading2"/>
        <w:spacing w:after="120" w:before="260"/>
      </w:pPr>
      <w:r>
        <w:rPr>
          <w:rFonts w:ascii="Georgia" w:cs="Georgia" w:eastAsia="Georgia" w:hAnsi="Georgia"/>
          <w:b/>
          <w:bCs/>
          <w:color w:val="0F2A44"/>
          <w:sz w:val="26"/>
          <w:szCs w:val="26"/>
        </w:rPr>
        <w:t xml:space="preserve">5.1 Kapı 1 · Kurucu hissedar olarak mülk sahibi (A, E belgeleri)</w:t>
      </w:r>
    </w:p>
    <w:p>
      <w:pPr>
        <w:pStyle w:val="Heading3"/>
        <w:spacing w:after="80" w:before="200"/>
      </w:pPr>
      <w:r>
        <w:rPr>
          <w:rFonts w:ascii="Calibri" w:cs="Calibri" w:eastAsia="Calibri" w:hAnsi="Calibri"/>
          <w:b/>
          <w:bCs/>
          <w:color w:val="B5651D"/>
          <w:sz w:val="23"/>
          <w:szCs w:val="23"/>
        </w:rPr>
        <w:t xml:space="preserve">Ayni olarak katar</w:t>
      </w:r>
    </w:p>
    <w:p>
      <w:pPr>
        <w:pStyle w:val="ListParagraph"/>
        <w:numPr>
          <w:ilvl w:val="0"/>
          <w:numId w:val="3"/>
        </w:numPr>
        <w:spacing w:after="90" w:line="290"/>
      </w:pPr>
      <w:r>
        <w:rPr>
          <w:rFonts w:ascii="Calibri" w:cs="Calibri" w:eastAsia="Calibri" w:hAnsi="Calibri"/>
          <w:b/>
          <w:bCs/>
          <w:sz w:val="22"/>
          <w:szCs w:val="22"/>
        </w:rPr>
        <w:t xml:space="preserve">Kutu</w:t>
      </w:r>
      <w:r>
        <w:rPr>
          <w:rFonts w:ascii="Calibri" w:cs="Calibri" w:eastAsia="Calibri" w:hAnsi="Calibri"/>
          <w:sz w:val="22"/>
          <w:szCs w:val="22"/>
        </w:rPr>
        <w:t xml:space="preserve"> — 100.000–200.000 sq ft, </w:t>
      </w:r>
      <w:r>
        <w:rPr>
          <w:rFonts w:ascii="Calibri" w:cs="Calibri" w:eastAsia="Calibri" w:hAnsi="Calibri"/>
          <w:i/>
          <w:iCs/>
          <w:sz w:val="22"/>
          <w:szCs w:val="22"/>
        </w:rPr>
        <w:t xml:space="preserve">Phygital-Ready</w:t>
      </w:r>
      <w:r>
        <w:rPr>
          <w:rStyle w:val="FootnoteReference"/>
        </w:rPr>
        <w:footnoteReference w:id="18"/>
      </w:r>
      <w:r>
        <w:rPr>
          <w:rFonts w:ascii="Calibri" w:cs="Calibri" w:eastAsia="Calibri" w:hAnsi="Calibri"/>
          <w:sz w:val="22"/>
          <w:szCs w:val="22"/>
        </w:rPr>
        <w:t xml:space="preserve"> teslim: güç, iklimlendirme, yangın güvenliği ve veri omurgası yazılı spesifikasyona uygun </w:t>
      </w:r>
      <w:r>
        <w:rPr>
          <w:rFonts w:ascii="Calibri" w:cs="Calibri" w:eastAsia="Calibri" w:hAnsi="Calibri"/>
          <w:i/>
          <w:iCs/>
          <w:sz w:val="22"/>
          <w:szCs w:val="22"/>
        </w:rPr>
        <w:t xml:space="preserve">vanilla shell</w:t>
      </w:r>
      <w:r>
        <w:rPr>
          <w:rStyle w:val="FootnoteReference"/>
        </w:rPr>
        <w:footnoteReference w:id="19"/>
      </w:r>
      <w:r>
        <w:rPr>
          <w:rFonts w:ascii="Calibri" w:cs="Calibri" w:eastAsia="Calibri" w:hAnsi="Calibri"/>
          <w:sz w:val="22"/>
          <w:szCs w:val="22"/>
        </w:rPr>
        <w:t xml:space="preserve">.</w:t>
      </w:r>
    </w:p>
    <w:p>
      <w:pPr>
        <w:pStyle w:val="ListParagraph"/>
        <w:numPr>
          <w:ilvl w:val="0"/>
          <w:numId w:val="3"/>
        </w:numPr>
        <w:spacing w:after="90" w:line="290"/>
      </w:pPr>
      <w:r>
        <w:rPr>
          <w:rFonts w:ascii="Calibri" w:cs="Calibri" w:eastAsia="Calibri" w:hAnsi="Calibri"/>
          <w:b/>
          <w:bCs/>
          <w:sz w:val="22"/>
          <w:szCs w:val="22"/>
        </w:rPr>
        <w:t xml:space="preserve">Sokak</w:t>
      </w:r>
      <w:r>
        <w:rPr>
          <w:rFonts w:ascii="Calibri" w:cs="Calibri" w:eastAsia="Calibri" w:hAnsi="Calibri"/>
          <w:sz w:val="22"/>
          <w:szCs w:val="22"/>
        </w:rPr>
        <w:t xml:space="preserve"> — medya ızgarası ve koridor ortası modüller için </w:t>
      </w:r>
      <w:r>
        <w:rPr>
          <w:rFonts w:ascii="Calibri" w:cs="Calibri" w:eastAsia="Calibri" w:hAnsi="Calibri"/>
          <w:i/>
          <w:iCs/>
          <w:sz w:val="22"/>
          <w:szCs w:val="22"/>
        </w:rPr>
        <w:t xml:space="preserve">common area</w:t>
      </w:r>
      <w:r>
        <w:rPr>
          <w:rStyle w:val="FootnoteReference"/>
        </w:rPr>
        <w:footnoteReference w:id="20"/>
      </w:r>
      <w:r>
        <w:rPr>
          <w:rFonts w:ascii="Calibri" w:cs="Calibri" w:eastAsia="Calibri" w:hAnsi="Calibri"/>
          <w:sz w:val="22"/>
          <w:szCs w:val="22"/>
        </w:rPr>
        <w:t xml:space="preserve"> ve koridor hakları.</w:t>
      </w:r>
    </w:p>
    <w:p>
      <w:pPr>
        <w:pStyle w:val="ListParagraph"/>
        <w:numPr>
          <w:ilvl w:val="0"/>
          <w:numId w:val="3"/>
        </w:numPr>
        <w:spacing w:after="90" w:line="290"/>
      </w:pPr>
      <w:r>
        <w:rPr>
          <w:rFonts w:ascii="Calibri" w:cs="Calibri" w:eastAsia="Calibri" w:hAnsi="Calibri"/>
          <w:b/>
          <w:bCs/>
          <w:sz w:val="22"/>
          <w:szCs w:val="22"/>
        </w:rPr>
        <w:t xml:space="preserve">Eşik</w:t>
      </w:r>
      <w:r>
        <w:rPr>
          <w:rFonts w:ascii="Calibri" w:cs="Calibri" w:eastAsia="Calibri" w:hAnsi="Calibri"/>
          <w:sz w:val="22"/>
          <w:szCs w:val="22"/>
        </w:rPr>
        <w:t xml:space="preserve"> — otopark hakları: pazar günleri, yemek kamyonları, EV şarj, kaldırım lojistiği, son araç kapısında medya.</w:t>
      </w:r>
    </w:p>
    <w:p>
      <w:pPr>
        <w:pStyle w:val="ListParagraph"/>
        <w:numPr>
          <w:ilvl w:val="0"/>
          <w:numId w:val="3"/>
        </w:numPr>
        <w:spacing w:after="90" w:line="290"/>
      </w:pPr>
      <w:r>
        <w:rPr>
          <w:rFonts w:ascii="Calibri" w:cs="Calibri" w:eastAsia="Calibri" w:hAnsi="Calibri"/>
          <w:b/>
          <w:bCs/>
          <w:sz w:val="22"/>
          <w:szCs w:val="22"/>
        </w:rPr>
        <w:t xml:space="preserve">Sükûnetle kullanım</w:t>
      </w:r>
      <w:r>
        <w:rPr>
          <w:rFonts w:ascii="Calibri" w:cs="Calibri" w:eastAsia="Calibri" w:hAnsi="Calibri"/>
          <w:sz w:val="22"/>
          <w:szCs w:val="22"/>
        </w:rPr>
        <w:t xml:space="preserve"> — on yıl artı opsiyonlar; demirbaşlar amorti olsun, getiri beyni öğrensin.</w:t>
      </w:r>
    </w:p>
    <w:p>
      <w:pPr>
        <w:pStyle w:val="ListParagraph"/>
        <w:numPr>
          <w:ilvl w:val="0"/>
          <w:numId w:val="3"/>
        </w:numPr>
        <w:spacing w:after="90" w:line="290"/>
      </w:pPr>
      <w:r>
        <w:rPr>
          <w:rFonts w:ascii="Calibri" w:cs="Calibri" w:eastAsia="Calibri" w:hAnsi="Calibri"/>
          <w:b/>
          <w:bCs/>
          <w:sz w:val="22"/>
          <w:szCs w:val="22"/>
        </w:rPr>
        <w:t xml:space="preserve">Alacaklı</w:t>
      </w:r>
      <w:r>
        <w:rPr>
          <w:rFonts w:ascii="Calibri" w:cs="Calibri" w:eastAsia="Calibri" w:hAnsi="Calibri"/>
          <w:sz w:val="22"/>
          <w:szCs w:val="22"/>
        </w:rPr>
        <w:t xml:space="preserve"> — konsent, </w:t>
      </w:r>
      <w:r>
        <w:rPr>
          <w:rFonts w:ascii="Calibri" w:cs="Calibri" w:eastAsia="Calibri" w:hAnsi="Calibri"/>
          <w:i/>
          <w:iCs/>
          <w:sz w:val="22"/>
          <w:szCs w:val="22"/>
        </w:rPr>
        <w:t xml:space="preserve">estoppel</w:t>
      </w:r>
      <w:r>
        <w:rPr>
          <w:rStyle w:val="FootnoteReference"/>
        </w:rPr>
        <w:footnoteReference w:id="21"/>
      </w:r>
      <w:r>
        <w:rPr>
          <w:rFonts w:ascii="Calibri" w:cs="Calibri" w:eastAsia="Calibri" w:hAnsi="Calibri"/>
          <w:sz w:val="22"/>
          <w:szCs w:val="22"/>
        </w:rPr>
        <w:t xml:space="preserve">, </w:t>
      </w:r>
      <w:r>
        <w:rPr>
          <w:rFonts w:ascii="Calibri" w:cs="Calibri" w:eastAsia="Calibri" w:hAnsi="Calibri"/>
          <w:i/>
          <w:iCs/>
          <w:sz w:val="22"/>
          <w:szCs w:val="22"/>
        </w:rPr>
        <w:t xml:space="preserve">SNDA</w:t>
      </w:r>
      <w:r>
        <w:rPr>
          <w:rStyle w:val="FootnoteReference"/>
        </w:rPr>
        <w:footnoteReference w:id="22"/>
      </w:r>
      <w:r>
        <w:rPr>
          <w:rFonts w:ascii="Calibri" w:cs="Calibri" w:eastAsia="Calibri" w:hAnsi="Calibri"/>
          <w:sz w:val="22"/>
          <w:szCs w:val="22"/>
        </w:rPr>
        <w:t xml:space="preserve">. Alacaklıyı masaya yalnızca borçlu getirebilir.</w:t>
      </w:r>
    </w:p>
    <w:p>
      <w:pPr>
        <w:pStyle w:val="ListParagraph"/>
        <w:numPr>
          <w:ilvl w:val="0"/>
          <w:numId w:val="3"/>
        </w:numPr>
        <w:spacing w:after="90" w:line="290"/>
      </w:pPr>
      <w:r>
        <w:rPr>
          <w:rFonts w:ascii="Calibri" w:cs="Calibri" w:eastAsia="Calibri" w:hAnsi="Calibri"/>
          <w:b/>
          <w:bCs/>
          <w:sz w:val="22"/>
          <w:szCs w:val="22"/>
        </w:rPr>
        <w:t xml:space="preserve">Co-tenancy ağı</w:t>
      </w:r>
      <w:r>
        <w:rPr>
          <w:rFonts w:ascii="Calibri" w:cs="Calibri" w:eastAsia="Calibri" w:hAnsi="Calibri"/>
          <w:sz w:val="22"/>
          <w:szCs w:val="22"/>
        </w:rPr>
        <w:t xml:space="preserve"> — canlı bir Atmosphere çapasının çapa doluluk testlerini tetiklemek yerine iyileştirmesi için sözleşmelerin yeniden yazılması.</w:t>
      </w:r>
    </w:p>
    <w:p>
      <w:pPr>
        <w:pStyle w:val="ListParagraph"/>
        <w:numPr>
          <w:ilvl w:val="0"/>
          <w:numId w:val="3"/>
        </w:numPr>
        <w:spacing w:after="90" w:line="290"/>
      </w:pPr>
      <w:r>
        <w:rPr>
          <w:rFonts w:ascii="Calibri" w:cs="Calibri" w:eastAsia="Calibri" w:hAnsi="Calibri"/>
          <w:b/>
          <w:bCs/>
          <w:sz w:val="22"/>
          <w:szCs w:val="22"/>
        </w:rPr>
        <w:t xml:space="preserve">Belediye nezdinde konum</w:t>
      </w:r>
      <w:r>
        <w:rPr>
          <w:rFonts w:ascii="Calibri" w:cs="Calibri" w:eastAsia="Calibri" w:hAnsi="Calibri"/>
          <w:sz w:val="22"/>
          <w:szCs w:val="22"/>
        </w:rPr>
        <w:t xml:space="preserve"> — izinler, tabela, toplantı kullanımı, sivil iyi niyet.</w:t>
      </w:r>
    </w:p>
    <w:p>
      <w:pPr>
        <w:pStyle w:val="Heading3"/>
        <w:spacing w:after="80" w:before="200"/>
      </w:pPr>
      <w:r>
        <w:rPr>
          <w:rFonts w:ascii="Calibri" w:cs="Calibri" w:eastAsia="Calibri" w:hAnsi="Calibri"/>
          <w:b/>
          <w:bCs/>
          <w:color w:val="B5651D"/>
          <w:sz w:val="23"/>
          <w:szCs w:val="23"/>
        </w:rPr>
        <w:t xml:space="preserve">Alır</w:t>
      </w:r>
    </w:p>
    <w:p>
      <w:pPr>
        <w:pStyle w:val="ListParagraph"/>
        <w:numPr>
          <w:ilvl w:val="0"/>
          <w:numId w:val="3"/>
        </w:numPr>
        <w:spacing w:after="90" w:line="290"/>
      </w:pPr>
      <w:r>
        <w:rPr>
          <w:rFonts w:ascii="Calibri" w:cs="Calibri" w:eastAsia="Calibri" w:hAnsi="Calibri"/>
          <w:b/>
          <w:bCs/>
          <w:sz w:val="22"/>
          <w:szCs w:val="22"/>
        </w:rPr>
        <w:t xml:space="preserve">Kurucu hisse</w:t>
      </w:r>
      <w:r>
        <w:rPr>
          <w:rFonts w:ascii="Calibri" w:cs="Calibri" w:eastAsia="Calibri" w:hAnsi="Calibri"/>
          <w:sz w:val="22"/>
          <w:szCs w:val="22"/>
        </w:rPr>
        <w:t xml:space="preserve"> — %20 (A) ya da %20 Capital Partner ile birlikte %40 (E). </w:t>
      </w:r>
      <w:r>
        <w:rPr>
          <w:rFonts w:ascii="Calibri" w:cs="Calibri" w:eastAsia="Calibri" w:hAnsi="Calibri"/>
          <w:b/>
          <w:bCs/>
          <w:color w:val="B5651D"/>
          <w:sz w:val="22"/>
          <w:szCs w:val="22"/>
        </w:rPr>
        <w:t xml:space="preserve">Kurul karar maddesi 9.2.</w:t>
      </w:r>
    </w:p>
    <w:p>
      <w:pPr>
        <w:pStyle w:val="ListParagraph"/>
        <w:numPr>
          <w:ilvl w:val="0"/>
          <w:numId w:val="3"/>
        </w:numPr>
        <w:spacing w:after="90" w:line="290"/>
      </w:pPr>
      <w:r>
        <w:rPr>
          <w:rFonts w:ascii="Calibri" w:cs="Calibri" w:eastAsia="Calibri" w:hAnsi="Calibri"/>
          <w:b/>
          <w:bCs/>
          <w:sz w:val="22"/>
          <w:szCs w:val="22"/>
        </w:rPr>
        <w:t xml:space="preserve">Kira tabanı</w:t>
      </w:r>
      <w:r>
        <w:rPr>
          <w:rFonts w:ascii="Calibri" w:cs="Calibri" w:eastAsia="Calibri" w:hAnsi="Calibri"/>
          <w:sz w:val="22"/>
          <w:szCs w:val="22"/>
        </w:rPr>
        <w:t xml:space="preserve"> — son üç yıl ortalaması, operatör garantisiyle; açık üç ayda bir ödenir (</w:t>
      </w:r>
      <w:r>
        <w:rPr>
          <w:rFonts w:ascii="Calibri" w:cs="Calibri" w:eastAsia="Calibri" w:hAnsi="Calibri"/>
          <w:i/>
          <w:iCs/>
          <w:sz w:val="22"/>
          <w:szCs w:val="22"/>
        </w:rPr>
        <w:t xml:space="preserve">floor guarantee</w:t>
      </w:r>
      <w:r>
        <w:rPr>
          <w:rStyle w:val="FootnoteReference"/>
        </w:rPr>
        <w:footnoteReference w:id="23"/>
      </w:r>
      <w:r>
        <w:rPr>
          <w:rFonts w:ascii="Calibri" w:cs="Calibri" w:eastAsia="Calibri" w:hAnsi="Calibri"/>
          <w:sz w:val="22"/>
          <w:szCs w:val="22"/>
        </w:rPr>
        <w:t xml:space="preserve">).</w:t>
      </w:r>
    </w:p>
    <w:p>
      <w:pPr>
        <w:pStyle w:val="ListParagraph"/>
        <w:numPr>
          <w:ilvl w:val="0"/>
          <w:numId w:val="3"/>
        </w:numPr>
        <w:spacing w:after="90" w:line="290"/>
      </w:pPr>
      <w:r>
        <w:rPr>
          <w:rFonts w:ascii="Calibri" w:cs="Calibri" w:eastAsia="Calibri" w:hAnsi="Calibri"/>
          <w:b/>
          <w:bCs/>
          <w:sz w:val="22"/>
          <w:szCs w:val="22"/>
        </w:rPr>
        <w:t xml:space="preserve">Her hatta artı-değer</w:t>
      </w:r>
      <w:r>
        <w:rPr>
          <w:rFonts w:ascii="Calibri" w:cs="Calibri" w:eastAsia="Calibri" w:hAnsi="Calibri"/>
          <w:sz w:val="22"/>
          <w:szCs w:val="22"/>
        </w:rPr>
        <w:t xml:space="preserve"> — alan getirisi, medya, komisyon, sponsorluk, üyelik, etkinlik, sevkiyat, eşik.</w:t>
      </w:r>
    </w:p>
    <w:p>
      <w:pPr>
        <w:pStyle w:val="ListParagraph"/>
        <w:numPr>
          <w:ilvl w:val="0"/>
          <w:numId w:val="3"/>
        </w:numPr>
        <w:spacing w:after="90" w:line="290"/>
      </w:pPr>
      <w:r>
        <w:rPr>
          <w:rFonts w:ascii="Calibri" w:cs="Calibri" w:eastAsia="Calibri" w:hAnsi="Calibri"/>
          <w:b/>
          <w:bCs/>
          <w:sz w:val="22"/>
          <w:szCs w:val="22"/>
        </w:rPr>
        <w:t xml:space="preserve">90 günde canlı çapa</w:t>
      </w:r>
      <w:r>
        <w:rPr>
          <w:rFonts w:ascii="Calibri" w:cs="Calibri" w:eastAsia="Calibri" w:hAnsi="Calibri"/>
          <w:sz w:val="22"/>
          <w:szCs w:val="22"/>
        </w:rPr>
        <w:t xml:space="preserve"> — kabuk tesliminden itibaren; co-tenancy herhangi bir backfill kirasından hızlı iyileşir.</w:t>
      </w:r>
    </w:p>
    <w:p>
      <w:pPr>
        <w:pStyle w:val="ListParagraph"/>
        <w:numPr>
          <w:ilvl w:val="0"/>
          <w:numId w:val="3"/>
        </w:numPr>
        <w:spacing w:after="90" w:line="290"/>
      </w:pPr>
      <w:r>
        <w:rPr>
          <w:rFonts w:ascii="Calibri" w:cs="Calibri" w:eastAsia="Calibri" w:hAnsi="Calibri"/>
          <w:b/>
          <w:bCs/>
          <w:sz w:val="22"/>
          <w:szCs w:val="22"/>
        </w:rPr>
        <w:t xml:space="preserve">Hale etkisi</w:t>
      </w:r>
      <w:r>
        <w:rPr>
          <w:rFonts w:ascii="Calibri" w:cs="Calibri" w:eastAsia="Calibri" w:hAnsi="Calibri"/>
          <w:sz w:val="22"/>
          <w:szCs w:val="22"/>
        </w:rPr>
        <w:t xml:space="preserve"> — sıra dükkân kiraları ve yenilemeleri karanlık değil canlı bir çapaya göre yeniden fiyatlanır (</w:t>
      </w:r>
      <w:r>
        <w:rPr>
          <w:rFonts w:ascii="Calibri" w:cs="Calibri" w:eastAsia="Calibri" w:hAnsi="Calibri"/>
          <w:i/>
          <w:iCs/>
          <w:sz w:val="22"/>
          <w:szCs w:val="22"/>
        </w:rPr>
        <w:t xml:space="preserve">halo</w:t>
      </w:r>
      <w:r>
        <w:rPr>
          <w:rStyle w:val="FootnoteReference"/>
        </w:rPr>
        <w:footnoteReference w:id="24"/>
      </w:r>
      <w:r>
        <w:rPr>
          <w:rFonts w:ascii="Calibri" w:cs="Calibri" w:eastAsia="Calibri" w:hAnsi="Calibri"/>
          <w:sz w:val="22"/>
          <w:szCs w:val="22"/>
        </w:rPr>
        <w:t xml:space="preserve">).</w:t>
      </w:r>
    </w:p>
    <w:p>
      <w:pPr>
        <w:pStyle w:val="ListParagraph"/>
        <w:numPr>
          <w:ilvl w:val="0"/>
          <w:numId w:val="3"/>
        </w:numPr>
        <w:spacing w:after="90" w:line="290"/>
      </w:pPr>
      <w:r>
        <w:rPr>
          <w:rFonts w:ascii="Calibri" w:cs="Calibri" w:eastAsia="Calibri" w:hAnsi="Calibri"/>
          <w:b/>
          <w:bCs/>
          <w:sz w:val="22"/>
          <w:szCs w:val="22"/>
        </w:rPr>
        <w:t xml:space="preserve">Yönetişim</w:t>
      </w:r>
      <w:r>
        <w:rPr>
          <w:rFonts w:ascii="Calibri" w:cs="Calibri" w:eastAsia="Calibri" w:hAnsi="Calibri"/>
          <w:sz w:val="22"/>
          <w:szCs w:val="22"/>
        </w:rPr>
        <w:t xml:space="preserve"> — kurul koltuğu ya da gözlemci, bilgi hakları, onay listesi, sonraki kutuda ilk bakış.</w:t>
      </w:r>
    </w:p>
    <w:p>
      <w:pPr>
        <w:pStyle w:val="Heading3"/>
        <w:spacing w:after="80" w:before="200"/>
      </w:pPr>
      <w:r>
        <w:rPr>
          <w:rFonts w:ascii="Calibri" w:cs="Calibri" w:eastAsia="Calibri" w:hAnsi="Calibri"/>
          <w:b/>
          <w:bCs/>
          <w:color w:val="B5651D"/>
          <w:sz w:val="23"/>
          <w:szCs w:val="23"/>
        </w:rPr>
        <w:t xml:space="preserve">Yapmaz</w:t>
      </w:r>
    </w:p>
    <w:p>
      <w:pPr>
        <w:pStyle w:val="ListParagraph"/>
        <w:numPr>
          <w:ilvl w:val="0"/>
          <w:numId w:val="3"/>
        </w:numPr>
        <w:spacing w:after="90" w:line="290"/>
      </w:pPr>
      <w:r>
        <w:rPr>
          <w:rFonts w:ascii="Calibri" w:cs="Calibri" w:eastAsia="Calibri" w:hAnsi="Calibri"/>
          <w:sz w:val="22"/>
          <w:szCs w:val="22"/>
        </w:rPr>
        <w:t xml:space="preserve">Nakit CapEx yok; operasyon yok; medya satışı yok; teknoloji riski yok; yazılı onay listesi dışında marka riski yok.</w:t>
      </w:r>
    </w:p>
    <w:p>
      <w:pPr>
        <w:pStyle w:val="Heading2"/>
        <w:spacing w:after="120" w:before="260"/>
      </w:pPr>
      <w:r>
        <w:rPr>
          <w:rFonts w:ascii="Georgia" w:cs="Georgia" w:eastAsia="Georgia" w:hAnsi="Georgia"/>
          <w:b/>
          <w:bCs/>
          <w:color w:val="0F2A44"/>
          <w:sz w:val="26"/>
          <w:szCs w:val="26"/>
        </w:rPr>
        <w:t xml:space="preserve">5.2 Kapı 2 · Karşı taraf olarak mülk sahibi (C, D belgeleri)</w:t>
      </w:r>
    </w:p>
    <w:p>
      <w:pPr>
        <w:spacing w:after="140" w:line="300"/>
      </w:pPr>
      <w:r>
        <w:rPr>
          <w:rFonts w:ascii="Calibri" w:cs="Calibri" w:eastAsia="Calibri" w:hAnsi="Calibri"/>
          <w:sz w:val="22"/>
          <w:szCs w:val="22"/>
        </w:rPr>
        <w:t xml:space="preserve">Special Situation rotasında edinim aracı kutuyu </w:t>
      </w:r>
      <w:r>
        <w:rPr>
          <w:rFonts w:ascii="Calibri" w:cs="Calibri" w:eastAsia="Calibri" w:hAnsi="Calibri"/>
          <w:i/>
          <w:iCs/>
          <w:sz w:val="22"/>
          <w:szCs w:val="22"/>
        </w:rPr>
        <w:t xml:space="preserve">special servicer</w:t>
      </w:r>
      <w:r>
        <w:rPr>
          <w:rFonts w:ascii="Calibri" w:cs="Calibri" w:eastAsia="Calibri" w:hAnsi="Calibri"/>
          <w:sz w:val="22"/>
          <w:szCs w:val="22"/>
        </w:rPr>
        <w:t xml:space="preserve">’dan satın alır. AVM sahibi hissedar değildir; konsentleri kutuyu işletilebilir kılan komşudur. One Box bunu açıkça söyler: </w:t>
      </w:r>
      <w:r>
        <w:rPr>
          <w:rFonts w:ascii="Calibri" w:cs="Calibri" w:eastAsia="Calibri" w:hAnsi="Calibri"/>
          <w:i/>
          <w:iCs/>
          <w:sz w:val="22"/>
          <w:szCs w:val="22"/>
        </w:rPr>
        <w:t xml:space="preserve">REA</w:t>
      </w:r>
      <w:r>
        <w:rPr>
          <w:rStyle w:val="FootnoteReference"/>
        </w:rPr>
        <w:footnoteReference w:id="25"/>
      </w:r>
      <w:r>
        <w:rPr>
          <w:rFonts w:ascii="Calibri" w:cs="Calibri" w:eastAsia="Calibri" w:hAnsi="Calibri"/>
          <w:sz w:val="22"/>
          <w:szCs w:val="22"/>
        </w:rPr>
        <w:t xml:space="preserve"> ve co-tenancy şartları kapanıştan önce çözülür, sonra değil.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600"/>
        <w:gridCol w:w="3160"/>
      </w:tblGrid>
      <w:tr>
        <w:trPr>
          <w:tblHeader/>
        </w:trPr>
        <w:tc>
          <w:tcPr>
            <w:tcW w:type="dxa" w:w="26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Aracın AVM sahibinden ihtiyacı</w:t>
            </w:r>
          </w:p>
        </w:tc>
        <w:tc>
          <w:tcPr>
            <w:tcW w:type="dxa" w:w="36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Neden</w:t>
            </w:r>
          </w:p>
        </w:tc>
        <w:tc>
          <w:tcPr>
            <w:tcW w:type="dxa" w:w="31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AVM sahibinin kazancı</w:t>
            </w:r>
          </w:p>
        </w:tc>
      </w:tr>
      <w:tr>
        <w:trPr>
          <w:cantSplit/>
        </w:trPr>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REA değişikliği</w:t>
            </w:r>
          </w:p>
        </w:tc>
        <w:tc>
          <w:tcPr>
            <w:tcW w:type="dxa" w:w="3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Eski mağaza parselinde kullanım, saat, tabela, toplantı ve medya genellikle karşılıklı irtifak sözleşmesiyle kısıtlıdır</w:t>
            </w:r>
          </w:p>
        </w:tc>
        <w:tc>
          <w:tcPr>
            <w:tcW w:type="dxa" w:w="31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Kendi sıra dükkân co-tenancy sızıntısını iyileştiren canlı bir çapa — Bölüm 7’deki aynı $ değeri, hiçbir şey katmadan</w:t>
            </w:r>
          </w:p>
        </w:tc>
      </w:tr>
      <w:tr>
        <w:trPr>
          <w:cantSplit/>
        </w:trPr>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Co-tenancy tanınması</w:t>
            </w:r>
          </w:p>
        </w:tc>
        <w:tc>
          <w:tcPr>
            <w:tcW w:type="dxa" w:w="3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Sıra dükkân kiraları “çapa”yı tanımlar; AVM sahibi Atmosphere’in bu tanıma girdiğini kabul etmeli</w:t>
            </w:r>
          </w:p>
        </w:tc>
        <w:tc>
          <w:tcPr>
            <w:tcW w:type="dxa" w:w="31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Geri gelen sıra dükkân kirası; kendi alacaklısına anlatacak hikâye</w:t>
            </w:r>
          </w:p>
        </w:tc>
      </w:tr>
      <w:tr>
        <w:trPr>
          <w:cantSplit/>
        </w:trPr>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Otopark ve eşik hakları</w:t>
            </w:r>
          </w:p>
        </w:tc>
        <w:tc>
          <w:tcPr>
            <w:tcW w:type="dxa" w:w="3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Otopark genellikle kutunun değil AVM’nindir</w:t>
            </w:r>
          </w:p>
        </w:tc>
        <w:tc>
          <w:tcPr>
            <w:tcW w:type="dxa" w:w="31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Eşik hatlarından (Kova 3) pay ya da sabit lisans bedeli — kurul maddesi 9.6</w:t>
            </w:r>
          </w:p>
        </w:tc>
      </w:tr>
      <w:tr>
        <w:trPr>
          <w:cantSplit/>
        </w:trPr>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Koridor ve ortak alan erişimi</w:t>
            </w:r>
          </w:p>
        </w:tc>
        <w:tc>
          <w:tcPr>
            <w:tcW w:type="dxa" w:w="3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Kutunun kendi girişi var; koridor kapısı AVM’nin</w:t>
            </w:r>
          </w:p>
        </w:tc>
        <w:tc>
          <w:tcPr>
            <w:tcW w:type="dxa" w:w="31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İsterse koridor tarafında medya ve modül geliri</w:t>
            </w:r>
          </w:p>
        </w:tc>
      </w:tr>
      <w:tr>
        <w:trPr>
          <w:cantSplit/>
        </w:trPr>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Kira havuzu için estoppel</w:t>
            </w:r>
          </w:p>
        </w:tc>
        <w:tc>
          <w:tcPr>
            <w:tcW w:type="dxa" w:w="3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Net-lease ABS ya da CTL finansmanı komşunun REA ve co-tenancy teyidini isteyecektir</w:t>
            </w:r>
          </w:p>
        </w:tc>
        <w:tc>
          <w:tcPr>
            <w:tcW w:type="dxa" w:w="31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Hiçbir şey — ama reddetmek çapaya mal olur</w:t>
            </w:r>
          </w:p>
        </w:tc>
      </w:tr>
    </w:tbl>
    <w:p>
      <w:pPr>
        <w:spacing w:after="120"/>
      </w:pPr>
    </w:p>
    <w:p>
      <w:pPr>
        <w:keepNext/>
        <w:pBdr>
          <w:left w:val="single" w:color="0F2A44" w:sz="24" w:space="8"/>
        </w:pBdr>
        <w:shd w:fill="F3F5F8" w:color="auto" w:val="clear"/>
        <w:spacing w:after="60" w:before="120" w:line="290"/>
        <w:ind w:left="200" w:right="200"/>
      </w:pPr>
      <w:r>
        <w:rPr>
          <w:rFonts w:ascii="Calibri" w:cs="Calibri" w:eastAsia="Calibri" w:hAnsi="Calibri"/>
          <w:b/>
          <w:bCs/>
          <w:caps/>
          <w:color w:val="0F2A44"/>
          <w:spacing w:val="20"/>
          <w:sz w:val="20"/>
          <w:szCs w:val="20"/>
        </w:rPr>
        <w:t xml:space="preserve">Zemini tutanın tek yapabileceği beş iş — her iki kapıda</w:t>
      </w:r>
    </w:p>
    <w:p>
      <w:pPr>
        <w:pBdr>
          <w:left w:val="single" w:color="0F2A44" w:sz="24" w:space="8"/>
        </w:pBdr>
        <w:shd w:fill="F3F5F8" w:color="auto" w:val="clear"/>
        <w:spacing w:after="160" w:line="290"/>
        <w:ind w:left="200" w:right="200"/>
      </w:pPr>
      <w:r>
        <w:rPr>
          <w:rFonts w:ascii="Calibri" w:cs="Calibri" w:eastAsia="Calibri" w:hAnsi="Calibri"/>
          <w:sz w:val="21"/>
          <w:szCs w:val="21"/>
        </w:rPr>
        <w:t xml:space="preserve">1. Zemini teslim et. 2. Alacaklının (Kapı 1) ya da servicer’ın (Kapı 2) kilidini aç. 3. Co-tenancy ağını iyileştir. 4. Eşiği ver. 5. Üçüncü mekânı kasabaya meşrulaştır — sivil bir üçüncü mekânın sivil bir sahibi olmalı.</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Bölüm 5 — rol tanımları</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6. Industrious argümanı — kurulun anlaştığı biçimde</w:t>
      </w:r>
    </w:p>
    <w:p>
      <w:pPr>
        <w:spacing w:after="140" w:line="300"/>
      </w:pPr>
      <w:r>
        <w:rPr>
          <w:rFonts w:ascii="Calibri" w:cs="Calibri" w:eastAsia="Calibri" w:hAnsi="Calibri"/>
          <w:sz w:val="22"/>
          <w:szCs w:val="22"/>
        </w:rPr>
        <w:t xml:space="preserve">Kurulun sezgisi, CBRE’nin Industrious alımının Atmosphere tezinin en güvenilir dış kanıtı olduğu yönünde. Öyledir. Bu bölüm argümanı sınavdan sağ çıkan biçimde kurar — üç tespit ve bir koşullu tez — ki hiçbir aday, hiçbir alacaklı ve hiçbir piyasa onu deviremesin.</w:t>
      </w:r>
    </w:p>
    <w:p>
      <w:pPr>
        <w:pStyle w:val="Heading2"/>
        <w:spacing w:after="120" w:before="260"/>
      </w:pPr>
      <w:r>
        <w:rPr>
          <w:rFonts w:ascii="Georgia" w:cs="Georgia" w:eastAsia="Georgia" w:hAnsi="Georgia"/>
          <w:b/>
          <w:bCs/>
          <w:color w:val="0F2A44"/>
          <w:sz w:val="26"/>
          <w:szCs w:val="26"/>
        </w:rPr>
        <w:t xml:space="preserve">6.1 Tespit A — eskime %70–80 zarar yazmayla fiyatlanıyor</w:t>
      </w:r>
    </w:p>
    <w:p>
      <w:pPr>
        <w:spacing w:after="140" w:line="300"/>
      </w:pPr>
      <w:r>
        <w:rPr>
          <w:rFonts w:ascii="Calibri" w:cs="Calibri" w:eastAsia="Calibri" w:hAnsi="Calibri"/>
          <w:b/>
          <w:bCs/>
          <w:color w:val="1F6B3A"/>
          <w:sz w:val="22"/>
          <w:szCs w:val="22"/>
        </w:rPr>
        <w:t xml:space="preserve">AÇIK KAYNAK. </w:t>
      </w:r>
      <w:r>
        <w:rPr>
          <w:rFonts w:ascii="Calibri" w:cs="Calibri" w:eastAsia="Calibri" w:hAnsi="Calibri"/>
          <w:sz w:val="22"/>
          <w:szCs w:val="22"/>
        </w:rPr>
        <w:t xml:space="preserve">Mayıs 2026: on CMBS kredisi %72,7 toplu kayıp şiddetiyle tasfiye edildi, ofis ağırlıklı; Pecanland Mall %80,9 kayıpla satıldı [12]. Ofis CMBS gecikmesi Ocak 2026’da rekor %12,34 [6]. 2017 öncesi yazılmış kapalı AVM CMBS kredileri %96,3 gecikmede [9]. </w:t>
      </w:r>
      <w:r>
        <w:rPr>
          <w:rFonts w:ascii="Calibri" w:cs="Calibri" w:eastAsia="Calibri" w:hAnsi="Calibri"/>
          <w:b/>
          <w:bCs/>
          <w:sz w:val="22"/>
          <w:szCs w:val="22"/>
        </w:rPr>
        <w:t xml:space="preserve">Piyasa eskimiş alanı iskonto etmiyor. Zarar yazıyor</w:t>
      </w:r>
      <w:r>
        <w:rPr>
          <w:rFonts w:ascii="Calibri" w:cs="Calibri" w:eastAsia="Calibri" w:hAnsi="Calibri"/>
          <w:sz w:val="22"/>
          <w:szCs w:val="22"/>
        </w:rPr>
        <w:t xml:space="preserve"> (</w:t>
      </w:r>
      <w:r>
        <w:rPr>
          <w:rFonts w:ascii="Calibri" w:cs="Calibri" w:eastAsia="Calibri" w:hAnsi="Calibri"/>
          <w:i/>
          <w:iCs/>
          <w:sz w:val="22"/>
          <w:szCs w:val="22"/>
        </w:rPr>
        <w:t xml:space="preserve">write-off</w:t>
      </w:r>
      <w:r>
        <w:rPr>
          <w:rStyle w:val="FootnoteReference"/>
        </w:rPr>
        <w:footnoteReference w:id="26"/>
      </w:r>
      <w:r>
        <w:rPr>
          <w:rFonts w:ascii="Calibri" w:cs="Calibri" w:eastAsia="Calibri" w:hAnsi="Calibri"/>
          <w:sz w:val="22"/>
          <w:szCs w:val="22"/>
        </w:rPr>
        <w:t xml:space="preserve">).</w:t>
      </w:r>
    </w:p>
    <w:p>
      <w:pPr>
        <w:pStyle w:val="Heading2"/>
        <w:spacing w:after="120" w:before="260"/>
      </w:pPr>
      <w:r>
        <w:rPr>
          <w:rFonts w:ascii="Georgia" w:cs="Georgia" w:eastAsia="Georgia" w:hAnsi="Georgia"/>
          <w:b/>
          <w:bCs/>
          <w:color w:val="0F2A44"/>
          <w:sz w:val="26"/>
          <w:szCs w:val="26"/>
        </w:rPr>
        <w:t xml:space="preserve">6.2 Tespit B — sektörün en büyük hizmet şirketi operatör katmanına $800M ödedi</w:t>
      </w:r>
    </w:p>
    <w:p>
      <w:pPr>
        <w:spacing w:after="140" w:line="300"/>
      </w:pPr>
      <w:r>
        <w:rPr>
          <w:rFonts w:ascii="Calibri" w:cs="Calibri" w:eastAsia="Calibri" w:hAnsi="Calibri"/>
          <w:b/>
          <w:bCs/>
          <w:color w:val="1F6B3A"/>
          <w:sz w:val="22"/>
          <w:szCs w:val="22"/>
        </w:rPr>
        <w:t xml:space="preserve">AÇIK KAYNAK. </w:t>
      </w:r>
      <w:r>
        <w:rPr>
          <w:rFonts w:ascii="Calibri" w:cs="Calibri" w:eastAsia="Calibri" w:hAnsi="Calibri"/>
          <w:sz w:val="22"/>
          <w:szCs w:val="22"/>
        </w:rPr>
        <w:t xml:space="preserve">14 Ocak 2025’te CBRE — dünyanın en büyük ticari gayrimenkul hizmet şirketi; binaları sahiplenmez, yönetir ve kiralar — Industrious’un kalan ~%60’ını ~$400M’a, yaklaşık $800M </w:t>
      </w:r>
      <w:r>
        <w:rPr>
          <w:rFonts w:ascii="Calibri" w:cs="Calibri" w:eastAsia="Calibri" w:hAnsi="Calibri"/>
          <w:i/>
          <w:iCs/>
          <w:sz w:val="22"/>
          <w:szCs w:val="22"/>
        </w:rPr>
        <w:t xml:space="preserve">enterprise value</w:t>
      </w:r>
      <w:r>
        <w:rPr>
          <w:rStyle w:val="FootnoteReference"/>
        </w:rPr>
        <w:footnoteReference w:id="27"/>
      </w:r>
      <w:r>
        <w:rPr>
          <w:rFonts w:ascii="Calibri" w:cs="Calibri" w:eastAsia="Calibri" w:hAnsi="Calibri"/>
          <w:sz w:val="22"/>
          <w:szCs w:val="22"/>
        </w:rPr>
        <w:t xml:space="preserve"> üzerinden almayı kabul etti ve </w:t>
      </w:r>
      <w:r>
        <w:rPr>
          <w:rFonts w:ascii="Calibri" w:cs="Calibri" w:eastAsia="Calibri" w:hAnsi="Calibri"/>
          <w:i/>
          <w:iCs/>
          <w:sz w:val="22"/>
          <w:szCs w:val="22"/>
        </w:rPr>
        <w:t xml:space="preserve">BOE</w:t>
      </w:r>
      <w:r>
        <w:rPr>
          <w:rStyle w:val="FootnoteReference"/>
        </w:rPr>
        <w:footnoteReference w:id="28"/>
      </w:r>
      <w:r>
        <w:rPr>
          <w:rFonts w:ascii="Calibri" w:cs="Calibri" w:eastAsia="Calibri" w:hAnsi="Calibri"/>
          <w:sz w:val="22"/>
          <w:szCs w:val="22"/>
        </w:rPr>
        <w:t xml:space="preserve"> adında yeni bir segment kurdu; Industrious’un kurucusu bu segmentin CEO’su ve CBRE’nin Chief Commercial Officer’ı oldu. CBRE 2020 sonundan beri ~%40 hisse ve $100M </w:t>
      </w:r>
      <w:r>
        <w:rPr>
          <w:rFonts w:ascii="Calibri" w:cs="Calibri" w:eastAsia="Calibri" w:hAnsi="Calibri"/>
          <w:i/>
          <w:iCs/>
          <w:sz w:val="22"/>
          <w:szCs w:val="22"/>
        </w:rPr>
        <w:t xml:space="preserve">convertible note</w:t>
      </w:r>
      <w:r>
        <w:rPr>
          <w:rStyle w:val="FootnoteReference"/>
        </w:rPr>
        <w:footnoteReference w:id="29"/>
      </w:r>
      <w:r>
        <w:rPr>
          <w:rFonts w:ascii="Calibri" w:cs="Calibri" w:eastAsia="Calibri" w:hAnsi="Calibri"/>
          <w:sz w:val="22"/>
          <w:szCs w:val="22"/>
        </w:rPr>
        <w:t xml:space="preserve"> tutuyordu; işlem ilk günden </w:t>
      </w:r>
      <w:r>
        <w:rPr>
          <w:rFonts w:ascii="Calibri" w:cs="Calibri" w:eastAsia="Calibri" w:hAnsi="Calibri"/>
          <w:i/>
          <w:iCs/>
          <w:sz w:val="22"/>
          <w:szCs w:val="22"/>
        </w:rPr>
        <w:t xml:space="preserve">accretive</w:t>
      </w:r>
      <w:r>
        <w:rPr>
          <w:rStyle w:val="FootnoteReference"/>
        </w:rPr>
        <w:footnoteReference w:id="30"/>
      </w:r>
      <w:r>
        <w:rPr>
          <w:rFonts w:ascii="Calibri" w:cs="Calibri" w:eastAsia="Calibri" w:hAnsi="Calibri"/>
          <w:sz w:val="22"/>
          <w:szCs w:val="22"/>
        </w:rPr>
        <w:t xml:space="preserve"> olarak duyuruldu; Industrious’un geliri 2021’den beri yılda %50’nin üzerinde bileşik büyüyerek 65 şehirde 200+ birime ulaşmıştı [39].</w:t>
      </w:r>
    </w:p>
    <w:p>
      <w:pPr>
        <w:keepNext/>
        <w:pBdr>
          <w:left w:val="single" w:color="B5651D" w:sz="24" w:space="8"/>
        </w:pBdr>
        <w:shd w:fill="FBF4EC" w:color="auto" w:val="clear"/>
        <w:spacing w:after="60" w:before="120" w:line="290"/>
        <w:ind w:left="200" w:right="200"/>
      </w:pPr>
      <w:r>
        <w:rPr>
          <w:rFonts w:ascii="Calibri" w:cs="Calibri" w:eastAsia="Calibri" w:hAnsi="Calibri"/>
          <w:b/>
          <w:bCs/>
          <w:caps/>
          <w:color w:val="B5651D"/>
          <w:spacing w:val="20"/>
          <w:sz w:val="20"/>
          <w:szCs w:val="20"/>
        </w:rPr>
        <w:t xml:space="preserve">Bu tespit ne söyler — ne söylemez</w:t>
      </w:r>
    </w:p>
    <w:p>
      <w:pPr>
        <w:pBdr>
          <w:left w:val="single" w:color="B5651D" w:sz="24" w:space="8"/>
        </w:pBdr>
        <w:shd w:fill="FBF4EC" w:color="auto" w:val="clear"/>
        <w:spacing w:after="80" w:line="290"/>
        <w:ind w:left="200" w:right="200"/>
      </w:pPr>
      <w:r>
        <w:rPr>
          <w:rFonts w:ascii="Calibri" w:cs="Calibri" w:eastAsia="Calibri" w:hAnsi="Calibri"/>
          <w:b/>
          <w:bCs/>
          <w:sz w:val="21"/>
          <w:szCs w:val="21"/>
        </w:rPr>
        <w:t xml:space="preserve">Söyler: </w:t>
      </w:r>
      <w:r>
        <w:rPr>
          <w:rFonts w:ascii="Calibri" w:cs="Calibri" w:eastAsia="Calibri" w:hAnsi="Calibri"/>
          <w:sz w:val="21"/>
          <w:szCs w:val="21"/>
        </w:rPr>
        <w:t xml:space="preserve">geliri işleyen binalardan alınan ücret olan stratejik bir alıcı, eskimiş alanı yeniden fiyatlayan asset-light bir operatöre para öder — çünkü eskimiş alan kaybolan ücret geliridir. Buna </w:t>
      </w:r>
      <w:r>
        <w:rPr>
          <w:rFonts w:ascii="Calibri" w:cs="Calibri" w:eastAsia="Calibri" w:hAnsi="Calibri"/>
          <w:i/>
          <w:iCs/>
          <w:sz w:val="22"/>
          <w:szCs w:val="22"/>
        </w:rPr>
        <w:t xml:space="preserve">fee-defense</w:t>
      </w:r>
      <w:r>
        <w:rPr>
          <w:rStyle w:val="FootnoteReference"/>
        </w:rPr>
        <w:footnoteReference w:id="31"/>
      </w:r>
      <w:r>
        <w:rPr>
          <w:rFonts w:ascii="Calibri" w:cs="Calibri" w:eastAsia="Calibri" w:hAnsi="Calibri"/>
          <w:sz w:val="21"/>
          <w:szCs w:val="21"/>
        </w:rPr>
        <w:t xml:space="preserve"> diyelim. Bu, alıcı sınıfını (CBRE BOE, JLL, Cushman &amp; Wakefield, Simon’ın “other platforms”ı, Brookfield) ve bir çıkış emsalini kurar.</w:t>
      </w:r>
    </w:p>
    <w:p>
      <w:pPr>
        <w:pBdr>
          <w:left w:val="single" w:color="B5651D" w:sz="24" w:space="8"/>
        </w:pBdr>
        <w:shd w:fill="FBF4EC" w:color="auto" w:val="clear"/>
        <w:spacing w:after="160" w:line="290"/>
        <w:ind w:left="200" w:right="200"/>
      </w:pPr>
      <w:r>
        <w:rPr>
          <w:rFonts w:ascii="Calibri" w:cs="Calibri" w:eastAsia="Calibri" w:hAnsi="Calibri"/>
          <w:b/>
          <w:bCs/>
          <w:sz w:val="21"/>
          <w:szCs w:val="21"/>
        </w:rPr>
        <w:t xml:space="preserve">Söylemez: </w:t>
      </w:r>
      <w:r>
        <w:rPr>
          <w:rFonts w:ascii="Calibri" w:cs="Calibri" w:eastAsia="Calibri" w:hAnsi="Calibri"/>
          <w:sz w:val="21"/>
          <w:szCs w:val="21"/>
        </w:rPr>
        <w:t xml:space="preserve">CBRE’nin gözü kapalı aldığını ya da fiyatı korkunun belirlediğini. CBRE dört yıl kurul görünürlüğüne sahipti ve ilk gün kâra katkı yapan bir fiyat ödedi. Aynı ofis paniği aynı yıllarda iki sonuç üretti: WeWork $47B’dan Chapter 11’e, Industrious $800M’a CBRE’ye. Fark hikâyenin büyüklüğü değildi; asset-light sözleşmeler ve birim ekonomisiydi. Industrious’u korku fiyatlamadı — nakit akışı fiyatladı. Korku Volta’yı da kurtarmadı.</w:t>
      </w:r>
    </w:p>
    <w:p>
      <w:pPr>
        <w:pStyle w:val="Heading2"/>
        <w:spacing w:after="120" w:before="260"/>
      </w:pPr>
      <w:r>
        <w:rPr>
          <w:rFonts w:ascii="Georgia" w:cs="Georgia" w:eastAsia="Georgia" w:hAnsi="Georgia"/>
          <w:b/>
          <w:bCs/>
          <w:color w:val="0F2A44"/>
          <w:sz w:val="26"/>
          <w:szCs w:val="26"/>
        </w:rPr>
        <w:t xml:space="preserve">6.3 Tespit C — perakende kutusunun çıkışı ofis katından az</w:t>
      </w:r>
    </w:p>
    <w:p>
      <w:pPr>
        <w:spacing w:after="140" w:line="300"/>
      </w:pPr>
      <w:r>
        <w:rPr>
          <w:rFonts w:ascii="Calibri" w:cs="Calibri" w:eastAsia="Calibri" w:hAnsi="Calibri"/>
          <w:b/>
          <w:bCs/>
          <w:color w:val="1F6B3A"/>
          <w:sz w:val="22"/>
          <w:szCs w:val="22"/>
        </w:rPr>
        <w:t xml:space="preserve">AÇIK KAYNAK. </w:t>
      </w:r>
      <w:r>
        <w:rPr>
          <w:rFonts w:ascii="Calibri" w:cs="Calibri" w:eastAsia="Calibri" w:hAnsi="Calibri"/>
          <w:sz w:val="22"/>
          <w:szCs w:val="22"/>
        </w:rPr>
        <w:t xml:space="preserve">Eskimeyle karşı karşıya ofis sahiplerinin iyi binalar için hâlâ bir kredi piyasası, geri kalanı için bir </w:t>
      </w:r>
      <w:r>
        <w:rPr>
          <w:rFonts w:ascii="Calibri" w:cs="Calibri" w:eastAsia="Calibri" w:hAnsi="Calibri"/>
          <w:i/>
          <w:iCs/>
          <w:sz w:val="22"/>
          <w:szCs w:val="22"/>
        </w:rPr>
        <w:t xml:space="preserve">flex workspace</w:t>
      </w:r>
      <w:r>
        <w:rPr>
          <w:rStyle w:val="FootnoteReference"/>
        </w:rPr>
        <w:footnoteReference w:id="32"/>
      </w:r>
      <w:r>
        <w:rPr>
          <w:rFonts w:ascii="Calibri" w:cs="Calibri" w:eastAsia="Calibri" w:hAnsi="Calibri"/>
          <w:sz w:val="22"/>
          <w:szCs w:val="22"/>
        </w:rPr>
        <w:t xml:space="preserve"> operatör piyasası var. Class B/C kapalı AVM’lerin ikisi de yok: CMBS mandası dışındalar [10][11], 40k+ sq ft için backfill havuzu ince [18] ve tek alıcılar — Kohan, Namdar — onları AVM olarak işletmek için alıyor [13]. </w:t>
      </w:r>
      <w:r>
        <w:rPr>
          <w:rFonts w:ascii="Calibri" w:cs="Calibri" w:eastAsia="Calibri" w:hAnsi="Calibri"/>
          <w:b/>
          <w:bCs/>
          <w:sz w:val="22"/>
          <w:szCs w:val="22"/>
        </w:rPr>
        <w:t xml:space="preserve">Alternatiflerin az olduğu yerde, marjı açan operatör daha değerlidir.</w:t>
      </w:r>
    </w:p>
    <w:p>
      <w:pPr>
        <w:pStyle w:val="Heading2"/>
        <w:spacing w:after="120" w:before="260"/>
      </w:pPr>
      <w:r>
        <w:rPr>
          <w:rFonts w:ascii="Georgia" w:cs="Georgia" w:eastAsia="Georgia" w:hAnsi="Georgia"/>
          <w:b/>
          <w:bCs/>
          <w:color w:val="0F2A44"/>
          <w:sz w:val="26"/>
          <w:szCs w:val="26"/>
        </w:rPr>
        <w:t xml:space="preserve">6.4 Tez — koşullu, kanıt merdiveniyle</w:t>
      </w:r>
    </w:p>
    <w:p>
      <w:pPr>
        <w:spacing w:after="140" w:line="300"/>
      </w:pPr>
      <w:r>
        <w:rPr>
          <w:rFonts w:ascii="Calibri" w:cs="Calibri" w:eastAsia="Calibri" w:hAnsi="Calibri"/>
          <w:sz w:val="22"/>
          <w:szCs w:val="22"/>
        </w:rPr>
        <w:t xml:space="preserve">Industrious eskimiş ofisin bir metrekaresini tek ürünle yeniden fiyatladı: bir masa. Atmosphere, eskimiş perakendenin bir metrekaresini yedi hat, bir medya ağı ve bir üyelik katmanıyla yeniden fiyatlamayı öneriyor. Kurul dolayısıyla aşağıdakini — bu biçimde ve daha güçlü olmayan biçimde — hedefi olarak benimseyebilir:</w:t>
      </w:r>
    </w:p>
    <w:p>
      <w:pPr>
        <w:keepNext/>
        <w:pBdr>
          <w:left w:val="single" w:color="1F6B3A" w:sz="24" w:space="8"/>
        </w:pBdr>
        <w:shd w:fill="FBF4EC" w:color="auto" w:val="clear"/>
        <w:spacing w:after="60" w:before="120" w:line="290"/>
        <w:ind w:left="200" w:right="200"/>
      </w:pPr>
      <w:r>
        <w:rPr>
          <w:rFonts w:ascii="Calibri" w:cs="Calibri" w:eastAsia="Calibri" w:hAnsi="Calibri"/>
          <w:b/>
          <w:bCs/>
          <w:caps/>
          <w:color w:val="1F6B3A"/>
          <w:spacing w:val="20"/>
          <w:sz w:val="20"/>
          <w:szCs w:val="20"/>
        </w:rPr>
        <w:t xml:space="preserve">Kurulun tezi</w:t>
      </w:r>
    </w:p>
    <w:p>
      <w:pPr>
        <w:pBdr>
          <w:left w:val="single" w:color="1F6B3A" w:sz="24" w:space="8"/>
        </w:pBdr>
        <w:shd w:fill="FBF4EC" w:color="auto" w:val="clear"/>
        <w:spacing w:after="160" w:line="290"/>
        <w:ind w:left="200" w:right="200"/>
      </w:pPr>
      <w:r>
        <w:rPr>
          <w:rFonts w:ascii="Calibri" w:cs="Calibri" w:eastAsia="Calibri" w:hAnsi="Calibri"/>
          <w:b/>
          <w:bCs/>
          <w:sz w:val="21"/>
          <w:szCs w:val="21"/>
        </w:rPr>
        <w:t xml:space="preserve">Eğer</w:t>
      </w:r>
      <w:r>
        <w:rPr>
          <w:rFonts w:ascii="Calibri" w:cs="Calibri" w:eastAsia="Calibri" w:hAnsi="Calibri"/>
          <w:sz w:val="21"/>
          <w:szCs w:val="21"/>
        </w:rPr>
        <w:t xml:space="preserve"> Atmosphere, satış anındaki Industrious ile karşılaştırılabilir ölçeğe ve işletme geçmişine ulaşırsa, </w:t>
      </w:r>
      <w:r>
        <w:rPr>
          <w:rFonts w:ascii="Calibri" w:cs="Calibri" w:eastAsia="Calibri" w:hAnsi="Calibri"/>
          <w:b/>
          <w:bCs/>
          <w:sz w:val="21"/>
          <w:szCs w:val="21"/>
        </w:rPr>
        <w:t xml:space="preserve">o zaman</w:t>
      </w:r>
      <w:r>
        <w:rPr>
          <w:rFonts w:ascii="Calibri" w:cs="Calibri" w:eastAsia="Calibri" w:hAnsi="Calibri"/>
          <w:sz w:val="21"/>
          <w:szCs w:val="21"/>
        </w:rPr>
        <w:t xml:space="preserve"> üç çarpan Industrious değerlemesine göre primi haklı kılar: (1) tek zeminde tek yerine yedi gelir hattı; (2) masa işinde olmayan, $70B’lik havuzun en hızlı büyüyen ve en az hizmet alan diliminde bir medya ve veri katmanı; (3) ofise göre daha az alternatif çıkışı olan bir varlık sınıfı. Kurulun beyan ettiği hedef, Industrious’un en az üç katı bir çarpandır. Bu hedef aşağıdaki kanıt merdiveninde kazanılır, analojiyle değil.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4300"/>
        <w:gridCol w:w="3960"/>
      </w:tblGrid>
      <w:tr>
        <w:trPr>
          <w:tblHeader/>
        </w:trPr>
        <w:tc>
          <w:tcPr>
            <w:tcW w:type="dxa" w:w="11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Basamak</w:t>
            </w:r>
          </w:p>
        </w:tc>
        <w:tc>
          <w:tcPr>
            <w:tcW w:type="dxa" w:w="43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Kanıt</w:t>
            </w:r>
          </w:p>
        </w:tc>
        <w:tc>
          <w:tcPr>
            <w:tcW w:type="dxa" w:w="39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Ne açar</w:t>
            </w:r>
          </w:p>
        </w:tc>
      </w:tr>
      <w:tr>
        <w:trPr>
          <w:cantSplit/>
        </w:trPr>
        <w:tc>
          <w:tcPr>
            <w:tcW w:type="dxa" w:w="11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w:t>
            </w:r>
          </w:p>
        </w:tc>
        <w:tc>
          <w:tcPr>
            <w:tcW w:type="dxa" w:w="4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İlk ABD mekânı açık; dört sistem canlı; RevPAM aylık raporlanıyor</w:t>
            </w:r>
          </w:p>
        </w:tc>
        <w:tc>
          <w:tcPr>
            <w:tcW w:type="dxa" w:w="3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Alacaklının okuyabileceği rakam (One Box, Kova 1) ve ilk mülk sahibi referansı</w:t>
            </w:r>
          </w:p>
        </w:tc>
      </w:tr>
      <w:tr>
        <w:trPr>
          <w:cantSplit/>
        </w:trPr>
        <w:tc>
          <w:tcPr>
            <w:tcW w:type="dxa" w:w="11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w:t>
            </w:r>
          </w:p>
        </w:tc>
        <w:tc>
          <w:tcPr>
            <w:tcW w:type="dxa" w:w="4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On iki ay işletme verisi: yedi hat, co-tenancy iyileşmesi ölçülmüş, sponsor ve reklamveren sözleşmeleri yerinde</w:t>
            </w:r>
          </w:p>
        </w:tc>
        <w:tc>
          <w:tcPr>
            <w:tcW w:type="dxa" w:w="3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Taban garantisi fiyatlanmış bir enstrümana dönüşür; her iki kapıdan ikinci ve üçüncü kutu</w:t>
            </w:r>
          </w:p>
        </w:tc>
      </w:tr>
      <w:tr>
        <w:trPr>
          <w:cantSplit/>
        </w:trPr>
        <w:tc>
          <w:tcPr>
            <w:tcW w:type="dxa" w:w="11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3</w:t>
            </w:r>
          </w:p>
        </w:tc>
        <w:tc>
          <w:tcPr>
            <w:tcW w:type="dxa" w:w="4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Beş mekân; Kova 1 havuzuna karşı ilk net-lease ABS ya da CTL finansmanı kapanmış</w:t>
            </w:r>
          </w:p>
        </w:tc>
        <w:tc>
          <w:tcPr>
            <w:tcW w:type="dxa" w:w="3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Kira-üzerinden-çıkış mekanizması kanıtlanmış; araç finanse edilebilir</w:t>
            </w:r>
          </w:p>
        </w:tc>
      </w:tr>
      <w:tr>
        <w:trPr>
          <w:cantSplit/>
        </w:trPr>
        <w:tc>
          <w:tcPr>
            <w:tcW w:type="dxa" w:w="11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4</w:t>
            </w:r>
          </w:p>
        </w:tc>
        <w:tc>
          <w:tcPr>
            <w:tcW w:type="dxa" w:w="4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6.2’de adı geçen alıcı sınıfıyla stratejik görüşmeler</w:t>
            </w:r>
          </w:p>
        </w:tc>
        <w:tc>
          <w:tcPr>
            <w:tcW w:type="dxa" w:w="3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Prim tezi bizim değil piyasanın sınavından geçer</w:t>
            </w:r>
          </w:p>
        </w:tc>
      </w:tr>
    </w:tbl>
    <w:p>
      <w:pPr>
        <w:spacing w:after="120"/>
      </w:pPr>
    </w:p>
    <w:p>
      <w:pPr>
        <w:spacing w:after="140" w:line="300"/>
      </w:pPr>
      <w:r>
        <w:rPr>
          <w:rFonts w:ascii="Calibri" w:cs="Calibri" w:eastAsia="Calibri" w:hAnsi="Calibri"/>
          <w:i/>
          <w:iCs/>
          <w:sz w:val="22"/>
          <w:szCs w:val="22"/>
        </w:rPr>
        <w:t xml:space="preserve">Kurulun tekrar edebileceği özet: </w:t>
      </w:r>
      <w:r>
        <w:rPr>
          <w:rFonts w:ascii="Calibri" w:cs="Calibri" w:eastAsia="Calibri" w:hAnsi="Calibri"/>
          <w:b/>
          <w:bCs/>
          <w:sz w:val="22"/>
          <w:szCs w:val="22"/>
        </w:rPr>
        <w:t xml:space="preserve">Korku gerçek; adı fee-defense. Emsal gerçek; Industrious fiyatı değil Industrious yapısı. Prim bir tez; merdiven onu kazandırır.</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Bölüm 6 — Industrious argümanı</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7. Mülk sahibi matematiği — sponsorun ekibinin yeniden kuracağı VMA illüstrasyonu</w:t>
      </w:r>
    </w:p>
    <w:p>
      <w:pPr>
        <w:keepNext/>
        <w:pBdr>
          <w:left w:val="single" w:color="9A6A00" w:sz="24" w:space="8"/>
        </w:pBdr>
        <w:shd w:fill="F3F5F8" w:color="auto" w:val="clear"/>
        <w:spacing w:after="60" w:before="120" w:line="290"/>
        <w:ind w:left="200" w:right="200"/>
      </w:pPr>
      <w:r>
        <w:rPr>
          <w:rFonts w:ascii="Calibri" w:cs="Calibri" w:eastAsia="Calibri" w:hAnsi="Calibri"/>
          <w:b/>
          <w:bCs/>
          <w:caps/>
          <w:color w:val="9A6A00"/>
          <w:spacing w:val="20"/>
          <w:sz w:val="20"/>
          <w:szCs w:val="20"/>
        </w:rPr>
        <w:t xml:space="preserve">Etiket</w:t>
      </w:r>
    </w:p>
    <w:p>
      <w:pPr>
        <w:pBdr>
          <w:left w:val="single" w:color="9A6A00" w:sz="24" w:space="8"/>
        </w:pBdr>
        <w:shd w:fill="F3F5F8" w:color="auto" w:val="clear"/>
        <w:spacing w:after="160" w:line="290"/>
        <w:ind w:left="200" w:right="200"/>
      </w:pPr>
      <w:r>
        <w:rPr>
          <w:rFonts w:ascii="Calibri" w:cs="Calibri" w:eastAsia="Calibri" w:hAnsi="Calibri"/>
          <w:b/>
          <w:bCs/>
          <w:sz w:val="21"/>
          <w:szCs w:val="21"/>
        </w:rPr>
        <w:t xml:space="preserve">Yalnızca illüstrasyon.</w:t>
      </w:r>
      <w:r>
        <w:rPr>
          <w:rFonts w:ascii="Calibri" w:cs="Calibri" w:eastAsia="Calibri" w:hAnsi="Calibri"/>
          <w:sz w:val="21"/>
          <w:szCs w:val="21"/>
        </w:rPr>
        <w:t xml:space="preserve"> One Box bilinçli olarak P&amp;L yayımlamaz: “kurucu hatları gösterir; sponsorun seçtiği ekip rakamları kurar.” Bu bölüm buna saygı duyar. Kapı 1’de mülk sahibinin getirisinin </w:t>
      </w:r>
      <w:r>
        <w:rPr>
          <w:rFonts w:ascii="Calibri" w:cs="Calibri" w:eastAsia="Calibri" w:hAnsi="Calibri"/>
          <w:b/>
          <w:bCs/>
          <w:sz w:val="21"/>
          <w:szCs w:val="21"/>
        </w:rPr>
        <w:t xml:space="preserve">yapısını</w:t>
      </w:r>
      <w:r>
        <w:rPr>
          <w:rFonts w:ascii="Calibri" w:cs="Calibri" w:eastAsia="Calibri" w:hAnsi="Calibri"/>
          <w:sz w:val="21"/>
          <w:szCs w:val="21"/>
        </w:rPr>
        <w:t xml:space="preserve"> yer tutucu mekân rakamlarıyla gösterir; bir mülk sahibi CFO’su hangi satırların mekân performansına bağlı olduğunu, hangilerinin olmadığını görsün. ALA’nın kendi hedefleri (flagship başına $5M+ ARR; tek kiraya göre ~5,4× NOI) yönetim projeksiyonudur ve kullanılmamıştır. </w:t>
      </w:r>
      <w:r>
        <w:rPr>
          <w:rFonts w:ascii="Calibri" w:cs="Calibri" w:eastAsia="Calibri" w:hAnsi="Calibri"/>
          <w:b/>
          <w:bCs/>
          <w:color w:val="B5651D"/>
          <w:sz w:val="21"/>
          <w:szCs w:val="21"/>
        </w:rPr>
        <w:t xml:space="preserve">Kurul maddesi 9.9, bu bölümün sponsorun ekibi odaya girene kadar saklanıp saklanmayacağını sorar.</w:t>
      </w:r>
    </w:p>
    <w:p>
      <w:pPr>
        <w:pStyle w:val="Heading2"/>
        <w:spacing w:after="120" w:before="260"/>
      </w:pPr>
      <w:r>
        <w:rPr>
          <w:rFonts w:ascii="Georgia" w:cs="Georgia" w:eastAsia="Georgia" w:hAnsi="Georgia"/>
          <w:b/>
          <w:bCs/>
          <w:color w:val="0F2A44"/>
          <w:sz w:val="26"/>
          <w:szCs w:val="26"/>
        </w:rPr>
        <w:t xml:space="preserve">7.1 Kurgu</w:t>
      </w:r>
    </w:p>
    <w:p>
      <w:pPr>
        <w:pStyle w:val="ListParagraph"/>
        <w:numPr>
          <w:ilvl w:val="0"/>
          <w:numId w:val="3"/>
        </w:numPr>
        <w:spacing w:after="90" w:line="290"/>
      </w:pPr>
      <w:r>
        <w:rPr>
          <w:rFonts w:ascii="Calibri" w:cs="Calibri" w:eastAsia="Calibri" w:hAnsi="Calibri"/>
          <w:sz w:val="22"/>
          <w:szCs w:val="22"/>
        </w:rPr>
        <w:t xml:space="preserve">140.000 sq ft eski mağaza, iki yıldır karanlık; 300.000 sq ft sıra dükkân alanı olan bir B AVM’de, ortalama $30/sq ft ($9,0M sıra dükkân kirası).</w:t>
      </w:r>
    </w:p>
    <w:p>
      <w:pPr>
        <w:pStyle w:val="ListParagraph"/>
        <w:numPr>
          <w:ilvl w:val="0"/>
          <w:numId w:val="3"/>
        </w:numPr>
        <w:spacing w:after="90" w:line="290"/>
      </w:pPr>
      <w:r>
        <w:rPr>
          <w:rFonts w:ascii="Calibri" w:cs="Calibri" w:eastAsia="Calibri" w:hAnsi="Calibri"/>
          <w:sz w:val="22"/>
          <w:szCs w:val="22"/>
        </w:rPr>
        <w:t xml:space="preserve">Karanlık kutunun taşıma maliyeti ≈ $2,50/sq ft ≈ yılda $350K. Sıra dükkânlarda co-tenancy sızıntısı ≈ %10 ≈ yılda $900K.</w:t>
      </w:r>
    </w:p>
    <w:p>
      <w:pPr>
        <w:pStyle w:val="ListParagraph"/>
        <w:numPr>
          <w:ilvl w:val="0"/>
          <w:numId w:val="3"/>
        </w:numPr>
        <w:spacing w:after="90" w:line="290"/>
      </w:pPr>
      <w:r>
        <w:rPr>
          <w:rFonts w:ascii="Calibri" w:cs="Calibri" w:eastAsia="Calibri" w:hAnsi="Calibri"/>
          <w:sz w:val="22"/>
          <w:szCs w:val="22"/>
        </w:rPr>
        <w:t xml:space="preserve">Backfill kıyası: Seritage maliyet vekiliyle (~$135–150/sq ft [34]) çapayı bölmek ≈ $19–21M mülk sahibi CapEx’i, $12–20/sq ft yeni kira için, iki-dört yıl sonra.</w:t>
      </w:r>
    </w:p>
    <w:p>
      <w:pPr>
        <w:pStyle w:val="ListParagraph"/>
        <w:numPr>
          <w:ilvl w:val="0"/>
          <w:numId w:val="3"/>
        </w:numPr>
        <w:spacing w:after="90" w:line="290"/>
      </w:pPr>
      <w:r>
        <w:rPr>
          <w:rFonts w:ascii="Calibri" w:cs="Calibri" w:eastAsia="Calibri" w:hAnsi="Calibri"/>
          <w:sz w:val="22"/>
          <w:szCs w:val="22"/>
        </w:rPr>
        <w:t xml:space="preserve">Kapı 1: mülk sahibi CapEx $0; taban = son üç yıl ortalaması (kutu karanlık olduğu için düşük); kurucu hisse %20 (A) ya da %40 (E).</w:t>
      </w:r>
    </w:p>
    <w:p>
      <w:pPr>
        <w:pStyle w:val="Heading2"/>
        <w:spacing w:after="120" w:before="260"/>
      </w:pPr>
      <w:r>
        <w:rPr>
          <w:rFonts w:ascii="Georgia" w:cs="Georgia" w:eastAsia="Georgia" w:hAnsi="Georgia"/>
          <w:b/>
          <w:bCs/>
          <w:color w:val="0F2A44"/>
          <w:sz w:val="26"/>
          <w:szCs w:val="26"/>
        </w:rPr>
        <w:t xml:space="preserve">7.2 Üç senaryo</w:t>
      </w:r>
    </w:p>
    <w:p>
      <w:pPr>
        <w:spacing w:after="140" w:line="300"/>
      </w:pPr>
      <w:r>
        <w:rPr>
          <w:rFonts w:ascii="Calibri" w:cs="Calibri" w:eastAsia="Calibri" w:hAnsi="Calibri"/>
          <w:sz w:val="22"/>
          <w:szCs w:val="22"/>
        </w:rPr>
        <w:t xml:space="preserve">Senaryolar: </w:t>
      </w:r>
      <w:r>
        <w:rPr>
          <w:rFonts w:ascii="Calibri" w:cs="Calibri" w:eastAsia="Calibri" w:hAnsi="Calibri"/>
          <w:i/>
          <w:iCs/>
          <w:sz w:val="22"/>
          <w:szCs w:val="22"/>
        </w:rPr>
        <w:t xml:space="preserve">Bear / Base / Bull</w:t>
      </w:r>
      <w:r>
        <w:rPr>
          <w:rStyle w:val="FootnoteReference"/>
        </w:rPr>
        <w:footnoteReference w:id="33"/>
      </w:r>
      <w:r>
        <w:rPr>
          <w:rFonts w:ascii="Calibri" w:cs="Calibri" w:eastAsia="Calibri" w:hAnsi="Calibri"/>
          <w:sz w:val="22"/>
          <w:szCs w:val="22"/>
        </w:rPr>
        <w:t xml:space="preserve">. Mekânın </w:t>
      </w:r>
      <w:r>
        <w:rPr>
          <w:rFonts w:ascii="Calibri" w:cs="Calibri" w:eastAsia="Calibri" w:hAnsi="Calibri"/>
          <w:i/>
          <w:iCs/>
          <w:sz w:val="22"/>
          <w:szCs w:val="22"/>
        </w:rPr>
        <w:t xml:space="preserve">distributable cash</w:t>
      </w:r>
      <w:r>
        <w:rPr>
          <w:rStyle w:val="FootnoteReference"/>
        </w:rPr>
        <w:footnoteReference w:id="34"/>
      </w:r>
      <w:r>
        <w:rPr>
          <w:rFonts w:ascii="Calibri" w:cs="Calibri" w:eastAsia="Calibri" w:hAnsi="Calibri"/>
          <w:sz w:val="22"/>
          <w:szCs w:val="22"/>
        </w:rPr>
        <w:t xml:space="preserve">’i yer tutucudur; değer, B AVM’ler için tipik %10 </w:t>
      </w:r>
      <w:r>
        <w:rPr>
          <w:rFonts w:ascii="Calibri" w:cs="Calibri" w:eastAsia="Calibri" w:hAnsi="Calibri"/>
          <w:i/>
          <w:iCs/>
          <w:sz w:val="22"/>
          <w:szCs w:val="22"/>
        </w:rPr>
        <w:t xml:space="preserve">cap rate</w:t>
      </w:r>
      <w:r>
        <w:rPr>
          <w:rStyle w:val="FootnoteReference"/>
        </w:rPr>
        <w:footnoteReference w:id="35"/>
      </w:r>
      <w:r>
        <w:rPr>
          <w:rFonts w:ascii="Calibri" w:cs="Calibri" w:eastAsia="Calibri" w:hAnsi="Calibri"/>
          <w:sz w:val="22"/>
          <w:szCs w:val="22"/>
        </w:rPr>
        <w:t xml:space="preserve"> ile kapitalize edilmiştir.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150"/>
        <w:gridCol w:w="1350"/>
        <w:gridCol w:w="1350"/>
        <w:gridCol w:w="2910"/>
      </w:tblGrid>
      <w:tr>
        <w:trPr>
          <w:tblHeader/>
        </w:trPr>
        <w:tc>
          <w:tcPr>
            <w:tcW w:type="dxa" w:w="26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Satır (yıllık)</w:t>
            </w:r>
          </w:p>
        </w:tc>
        <w:tc>
          <w:tcPr>
            <w:tcW w:type="dxa" w:w="115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Bear</w:t>
            </w:r>
          </w:p>
        </w:tc>
        <w:tc>
          <w:tcPr>
            <w:tcW w:type="dxa" w:w="135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Base</w:t>
            </w:r>
          </w:p>
        </w:tc>
        <w:tc>
          <w:tcPr>
            <w:tcW w:type="dxa" w:w="135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Bull</w:t>
            </w:r>
          </w:p>
        </w:tc>
        <w:tc>
          <w:tcPr>
            <w:tcW w:type="dxa" w:w="291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Not</w:t>
            </w:r>
          </w:p>
        </w:tc>
      </w:tr>
      <w:tr>
        <w:trPr>
          <w:cantSplit/>
        </w:trPr>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Mekân dağıtılabilir nakit (yer tutucu)</w:t>
            </w:r>
          </w:p>
        </w:tc>
        <w:tc>
          <w:tcPr>
            <w:tcW w:type="dxa" w:w="11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$1,0M</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$2,5M</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$5,0M</w:t>
            </w:r>
          </w:p>
        </w:tc>
        <w:tc>
          <w:tcPr>
            <w:tcW w:type="dxa" w:w="29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Tahmin değil.</w:t>
            </w:r>
          </w:p>
        </w:tc>
      </w:tr>
      <w:tr>
        <w:trPr>
          <w:cantSplit/>
        </w:trPr>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Mülk sahibi hisse payı @ %20</w:t>
            </w:r>
          </w:p>
        </w:tc>
        <w:tc>
          <w:tcPr>
            <w:tcW w:type="dxa" w:w="11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$0,20M</w:t>
            </w:r>
          </w:p>
        </w:tc>
        <w:tc>
          <w:tcPr>
            <w:tcW w:type="dxa" w:w="13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$0,50M</w:t>
            </w:r>
          </w:p>
        </w:tc>
        <w:tc>
          <w:tcPr>
            <w:tcW w:type="dxa" w:w="13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$1,00M</w:t>
            </w:r>
          </w:p>
        </w:tc>
        <w:tc>
          <w:tcPr>
            <w:tcW w:type="dxa" w:w="29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belgesi payı.</w:t>
            </w:r>
          </w:p>
        </w:tc>
      </w:tr>
      <w:tr>
        <w:trPr>
          <w:cantSplit/>
        </w:trPr>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Mülk sahibi hisse payı @ %40</w:t>
            </w:r>
          </w:p>
        </w:tc>
        <w:tc>
          <w:tcPr>
            <w:tcW w:type="dxa" w:w="11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$0,40M</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$1,00M</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$2,00M</w:t>
            </w:r>
          </w:p>
        </w:tc>
        <w:tc>
          <w:tcPr>
            <w:tcW w:type="dxa" w:w="29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belgesi payı.</w:t>
            </w:r>
          </w:p>
        </w:tc>
      </w:tr>
      <w:tr>
        <w:trPr>
          <w:cantSplit/>
        </w:trPr>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Co-tenancy iyileşmesi</w:t>
            </w:r>
          </w:p>
        </w:tc>
        <w:tc>
          <w:tcPr>
            <w:tcW w:type="dxa" w:w="11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+$0,90M</w:t>
            </w:r>
          </w:p>
        </w:tc>
        <w:tc>
          <w:tcPr>
            <w:tcW w:type="dxa" w:w="13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+$0,90M</w:t>
            </w:r>
          </w:p>
        </w:tc>
        <w:tc>
          <w:tcPr>
            <w:tcW w:type="dxa" w:w="13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+$0,90M</w:t>
            </w:r>
          </w:p>
        </w:tc>
        <w:tc>
          <w:tcPr>
            <w:tcW w:type="dxa" w:w="29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Mekân performansından bağımsız. Kapı 2’de AVM sahibine de tahakkuk eder.</w:t>
            </w:r>
          </w:p>
        </w:tc>
      </w:tr>
      <w:tr>
        <w:trPr>
          <w:cantSplit/>
        </w:trPr>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Önlenen taşıma maliyeti</w:t>
            </w:r>
          </w:p>
        </w:tc>
        <w:tc>
          <w:tcPr>
            <w:tcW w:type="dxa" w:w="11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+$0,35M</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+$0,35M</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+$0,35M</w:t>
            </w:r>
          </w:p>
        </w:tc>
        <w:tc>
          <w:tcPr>
            <w:tcW w:type="dxa" w:w="29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Mekân performansından bağımsız.</w:t>
            </w:r>
          </w:p>
        </w:tc>
      </w:tr>
      <w:tr>
        <w:trPr>
          <w:cantSplit/>
        </w:trPr>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Sıra dükkân hale etkisi (yenileme artışı)</w:t>
            </w:r>
          </w:p>
        </w:tc>
        <w:tc>
          <w:tcPr>
            <w:tcW w:type="dxa" w:w="11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w:t>
            </w:r>
          </w:p>
        </w:tc>
        <w:tc>
          <w:tcPr>
            <w:tcW w:type="dxa" w:w="13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+%3 = $0,27M</w:t>
            </w:r>
          </w:p>
        </w:tc>
        <w:tc>
          <w:tcPr>
            <w:tcW w:type="dxa" w:w="13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+%6 = $0,54M</w:t>
            </w:r>
          </w:p>
        </w:tc>
        <w:tc>
          <w:tcPr>
            <w:tcW w:type="dxa" w:w="29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Karanlık değil, destinasyon çapa.</w:t>
            </w:r>
          </w:p>
        </w:tc>
      </w:tr>
      <w:tr>
        <w:trPr>
          <w:cantSplit/>
        </w:trPr>
        <w:tc>
          <w:tcPr>
            <w:tcW w:type="dxa" w:w="26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Mülk sahibi farkı @ %20</w:t>
            </w:r>
          </w:p>
        </w:tc>
        <w:tc>
          <w:tcPr>
            <w:tcW w:type="dxa" w:w="115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$1,45M</w:t>
            </w:r>
          </w:p>
        </w:tc>
        <w:tc>
          <w:tcPr>
            <w:tcW w:type="dxa" w:w="135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$2,02M</w:t>
            </w:r>
          </w:p>
        </w:tc>
        <w:tc>
          <w:tcPr>
            <w:tcW w:type="dxa" w:w="135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$2,79M</w:t>
            </w:r>
          </w:p>
        </w:tc>
        <w:tc>
          <w:tcPr>
            <w:tcW w:type="dxa" w:w="291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Bugün yaklaşık –$1,25M katkı yapan bir kutuya karşı.</w:t>
            </w:r>
          </w:p>
        </w:tc>
      </w:tr>
      <w:tr>
        <w:trPr>
          <w:cantSplit/>
        </w:trPr>
        <w:tc>
          <w:tcPr>
            <w:tcW w:type="dxa" w:w="26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%10 cap rate ile kapitalize</w:t>
            </w:r>
          </w:p>
        </w:tc>
        <w:tc>
          <w:tcPr>
            <w:tcW w:type="dxa" w:w="115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 $14,5M</w:t>
            </w:r>
          </w:p>
        </w:tc>
        <w:tc>
          <w:tcPr>
            <w:tcW w:type="dxa" w:w="135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 $20M</w:t>
            </w:r>
          </w:p>
        </w:tc>
        <w:tc>
          <w:tcPr>
            <w:tcW w:type="dxa" w:w="135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 $28M</w:t>
            </w:r>
          </w:p>
        </w:tc>
        <w:tc>
          <w:tcPr>
            <w:tcW w:type="dxa" w:w="291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val="false"/>
                <w:bCs w:val="false"/>
                <w:color w:val="B5651D"/>
                <w:sz w:val="19"/>
                <w:szCs w:val="19"/>
              </w:rPr>
              <w:t xml:space="preserve">Katkısı $0’a mal olan bir kutuda.</w:t>
            </w:r>
          </w:p>
        </w:tc>
      </w:tr>
      <w:tr>
        <w:trPr>
          <w:cantSplit/>
        </w:trPr>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Mülk sahibinin riskteki nakdi</w:t>
            </w:r>
          </w:p>
        </w:tc>
        <w:tc>
          <w:tcPr>
            <w:tcW w:type="dxa" w:w="11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w:t>
            </w:r>
          </w:p>
        </w:tc>
        <w:tc>
          <w:tcPr>
            <w:tcW w:type="dxa" w:w="29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Taban operatör garantisinde; iç donatım Capital Partner’da.</w:t>
            </w:r>
          </w:p>
        </w:tc>
      </w:tr>
    </w:tbl>
    <w:p>
      <w:pPr>
        <w:spacing w:after="120"/>
      </w:pPr>
    </w:p>
    <w:p>
      <w:pPr>
        <w:pStyle w:val="ListParagraph"/>
        <w:numPr>
          <w:ilvl w:val="0"/>
          <w:numId w:val="3"/>
        </w:numPr>
        <w:spacing w:after="90" w:line="290"/>
      </w:pPr>
      <w:r>
        <w:rPr>
          <w:rFonts w:ascii="Calibri" w:cs="Calibri" w:eastAsia="Calibri" w:hAnsi="Calibri"/>
          <w:b/>
          <w:bCs/>
          <w:sz w:val="22"/>
          <w:szCs w:val="22"/>
        </w:rPr>
        <w:t xml:space="preserve">Hisse satırı Bear’da en küçük, Bull’da en büyük — hisseyi hisse yapan budur.</w:t>
      </w:r>
      <w:r>
        <w:rPr>
          <w:rFonts w:ascii="Calibri" w:cs="Calibri" w:eastAsia="Calibri" w:hAnsi="Calibri"/>
          <w:sz w:val="22"/>
          <w:szCs w:val="22"/>
        </w:rPr>
        <w:t xml:space="preserve"> Aşağı yön, mekâna bağlı olmayan üç satırla taşınır: co-tenancy iyileşmesi, önlenen taşıma, taban.</w:t>
      </w:r>
    </w:p>
    <w:p>
      <w:pPr>
        <w:pStyle w:val="ListParagraph"/>
        <w:numPr>
          <w:ilvl w:val="0"/>
          <w:numId w:val="3"/>
        </w:numPr>
        <w:spacing w:after="90" w:line="290"/>
      </w:pPr>
      <w:r>
        <w:rPr>
          <w:rFonts w:ascii="Calibri" w:cs="Calibri" w:eastAsia="Calibri" w:hAnsi="Calibri"/>
          <w:b/>
          <w:bCs/>
          <w:sz w:val="22"/>
          <w:szCs w:val="22"/>
        </w:rPr>
        <w:t xml:space="preserve">Kapı 2’de AVM sahibi bu üç satırın ilk ikisini bedava alır</w:t>
      </w:r>
      <w:r>
        <w:rPr>
          <w:rFonts w:ascii="Calibri" w:cs="Calibri" w:eastAsia="Calibri" w:hAnsi="Calibri"/>
          <w:sz w:val="22"/>
          <w:szCs w:val="22"/>
        </w:rPr>
        <w:t xml:space="preserve"> — yan komşudaki canlı çapa onun co-tenancy’sini iyileştirir ve taşıma maliyetini bitirir — bu yüzden Bölüm 5.2’deki REA değişikliği bir iyilik değil, bir takastır.</w:t>
      </w:r>
    </w:p>
    <w:p>
      <w:pPr>
        <w:pStyle w:val="ListParagraph"/>
        <w:numPr>
          <w:ilvl w:val="0"/>
          <w:numId w:val="3"/>
        </w:numPr>
        <w:spacing w:after="90" w:line="290"/>
      </w:pPr>
      <w:r>
        <w:rPr>
          <w:rFonts w:ascii="Calibri" w:cs="Calibri" w:eastAsia="Calibri" w:hAnsi="Calibri"/>
          <w:b/>
          <w:bCs/>
          <w:sz w:val="22"/>
          <w:szCs w:val="22"/>
        </w:rPr>
        <w:t xml:space="preserve">Hiçbir şey yapmamaya karşı kıyas, vade duvarıdır.</w:t>
      </w:r>
      <w:r>
        <w:rPr>
          <w:rFonts w:ascii="Calibri" w:cs="Calibri" w:eastAsia="Calibri" w:hAnsi="Calibri"/>
          <w:sz w:val="22"/>
          <w:szCs w:val="22"/>
        </w:rPr>
        <w:t xml:space="preserve"> 2026’da bir alacaklı uzatma ile çözüm arasında seçim yapıyor [4][5]. Taban garantili imzalı bir işletme sözleşmesi çözüm hikâyesidir; karanlık kutu değildir.</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Bölüm 7 — illüstrasyon (yayımla / sakla)</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8. Kurulun kendi sınavı — on soru</w:t>
      </w:r>
    </w:p>
    <w:p>
      <w:pPr>
        <w:spacing w:after="140" w:line="300"/>
      </w:pPr>
      <w:r>
        <w:rPr>
          <w:rFonts w:ascii="Calibri" w:cs="Calibri" w:eastAsia="Calibri" w:hAnsi="Calibri"/>
          <w:sz w:val="22"/>
          <w:szCs w:val="22"/>
        </w:rPr>
        <w:t xml:space="preserve">“Emanetten önce imtihan gelir — ve bizimkiyle başlar.” Bunlar bir GYO kurulunun, bir CMBS special servicer’ının, bir vergi danışmanının ya da bir ittifak adayının soracağı sorulardır. Kurul her birini tek nefeste cevaplayabilmeli ve cevabı başkası sormadan önce kararlaştırmalıdır.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
        <w:gridCol w:w="2600"/>
        <w:gridCol w:w="6310"/>
      </w:tblGrid>
      <w:tr>
        <w:trPr>
          <w:tblHeader/>
        </w:trPr>
        <w:tc>
          <w:tcPr>
            <w:tcW w:type="dxa" w:w="45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t>
            </w:r>
          </w:p>
        </w:tc>
        <w:tc>
          <w:tcPr>
            <w:tcW w:type="dxa" w:w="26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Soru</w:t>
            </w:r>
          </w:p>
        </w:tc>
        <w:tc>
          <w:tcPr>
            <w:tcW w:type="dxa" w:w="631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Kurulun verebileceği cevap</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1</w:t>
            </w:r>
          </w:p>
        </w:tc>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“Operatör kim? Henüz ABD’de mekân yok.”</w:t>
            </w:r>
          </w:p>
        </w:tc>
        <w:tc>
          <w:tcPr>
            <w:tcW w:type="dxa" w:w="63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Doğru; Field Thesis bunu kendisi söylüyor. Hafifletici unsurlar: 30 yıl, 10.000+ konsesyon birimi, 8 ülke, JCDecaux’ya çıkış; taban garantisi aşağı yönü operatöre taşır; Capital Partner iç donatımı fonlar; pilot-önce. One Box’taki inkübasyon modeli — her şeyi gör, her şeyi durdur, hiçbir şeyi yönetme — tam da kurucu bu ülkede yeni olduğu için var. Gürültülü piyasada doğrulanabilirlik en kıt varlık; onunla başla.</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2</w:t>
            </w:r>
          </w:p>
        </w:tc>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“Alacaklımız konsent vermez” (Kapı 1) / “Servicer temiz satış ister” (Kapı 2).</w:t>
            </w:r>
          </w:p>
        </w:tc>
        <w:tc>
          <w:tcPr>
            <w:tcW w:type="dxa" w:w="63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Kapı 1: lisans/yönetim sözleşmesi + SNDA olarak yapılandır; taban DSCR’ı korur; 2026 alacaklısı beşinci uzatma değil çözüm ister [4]. Kapı 2: mesele zaten bu — senet ya da REO zarar yazıldıktan sonra alınır; REA ve co-tenancy kapanıştan önce çözülür.</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3</w:t>
            </w:r>
          </w:p>
        </w:tc>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“GYO gelir testleri” (Kapı 1).</w:t>
            </w:r>
          </w:p>
        </w:tc>
        <w:tc>
          <w:tcPr>
            <w:tcW w:type="dxa" w:w="63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İşleyen bir C-corp’tan gelen dağıtımlar %75 testi için “gayrimenkul kirası” değildir; &gt;%10 sahibi olunan kiracıdan gelen kira genellikle dışlanır. Yapılandırma maddesi, engel değil: TRS (varlık tavanı içinde) ya da nitelikli taban kirası + katılım. Otel GYO’ları 1999 REIT Modernization Act sonrası tam olarak bunu çözdü. İlk günden vergi danışmanı.</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4</w:t>
            </w:r>
          </w:p>
        </w:tc>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“Kutu AVM’nin değil — non-collateral anchor.”</w:t>
            </w:r>
          </w:p>
        </w:tc>
        <w:tc>
          <w:tcPr>
            <w:tcW w:type="dxa" w:w="63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Sıklıkla doğru [38]. O zaman Kapı 2 doğrudan uygulanır (mağaza zincirinden ya da alacaklısından al) ya da Kapı 1, AVM sahibinin kutuyu satın almasını haklı kılan çıkış hikâyesi olur. Macy’s satıcı.</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5</w:t>
            </w:r>
          </w:p>
        </w:tc>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“Mevcut kiralarda münhasırlık ve ortak alan kısıtları var.”</w:t>
            </w:r>
          </w:p>
        </w:tc>
        <w:tc>
          <w:tcPr>
            <w:tcW w:type="dxa" w:w="63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Gerçek [30]. Yeniden yazım zemin sahibinin (5.1) ya da REA (5.2) işidir. Canlı çapa co-tenancy’yi iyileştirir; bu sıra dükkânlar için herhangi bir münhasırlıktan değerlidir.</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6</w:t>
            </w:r>
          </w:p>
        </w:tc>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“Veri ve gizlilik.”</w:t>
            </w:r>
          </w:p>
        </w:tc>
        <w:tc>
          <w:tcPr>
            <w:tcW w:type="dxa" w:w="63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HuxNet onaylı ve gizlilik-öncelikli; zemin sahibi yazılı onay listesi tutar; eyalet gizlilik yasaları her retail media ağında günlük iş.</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7</w:t>
            </w:r>
          </w:p>
        </w:tc>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“Sıra dükkânlarımızı yamyamlaştırır.”</w:t>
            </w:r>
          </w:p>
        </w:tc>
        <w:tc>
          <w:tcPr>
            <w:tcW w:type="dxa" w:w="63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Farklı arz: kanal bir ve ikiden fiyatla dışlanmış üreticiler, DTC ve uluslararası markalar; sponsorlar kategori-münhasır koltuk alır; sıra dükkân trafiği alır.</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8</w:t>
            </w:r>
          </w:p>
        </w:tc>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“Ya başarısız olursa?”</w:t>
            </w:r>
          </w:p>
        </w:tc>
        <w:tc>
          <w:tcPr>
            <w:tcW w:type="dxa" w:w="63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Taban garantili (Kapı 1); Kova 1 havuzu kredi destekli, altında Kova 2 rezervi (Kapı 2); modüler demirbaşlar yeniden konuşlandırılır; kutu iyileştirilmiş, güçlendirilmiş kabuk olarak döner; 90 günlük donatım batık maliyeti düşük tutar.</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9</w:t>
            </w:r>
          </w:p>
        </w:tc>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“Neden kendimiz yapmıyoruz?”</w:t>
            </w:r>
          </w:p>
        </w:tc>
        <w:tc>
          <w:tcPr>
            <w:tcW w:type="dxa" w:w="63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Çünkü AVM’lerin işi kira toplamaktır — bunu Simon’ın neden perakendeci aldığını açıklayan bir AVM CEO’su kayda geçirdi [33]; tekdüzelik underwriting ile dayatılır; Seritage vaka çalışmasıdır; elle işletilen yedi hatlı bir mekân, her temalı destinasyon perakendecisini içten boşalttı.</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10</w:t>
            </w:r>
          </w:p>
        </w:tc>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“Neden şimdi ve neden bu pay?”</w:t>
            </w:r>
          </w:p>
        </w:tc>
        <w:tc>
          <w:tcPr>
            <w:tcW w:type="dxa" w:w="63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Çünkü 2026 uzatmanın bittiği yıl [4][5]; perakende CMBS kuyruğunun önünde; eski AVM kâğıdı %96 gecikmede [9]; mağaza içi medya sıfırdan %33 büyüyor [27]; ve Kapı 1’de katkı nakde mal olmuyor. Pay kurul maddesi 9.2 — ama koltuk kıt: tek ABD müttefiki.</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Bölüm 8 — kararlaştırılmış cevaplar</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pPr>
        <w:pStyle w:val="Heading1"/>
        <w:pBdr>
          <w:bottom w:val="single" w:color="B5651D" w:sz="6" w:space="4"/>
        </w:pBdr>
        <w:spacing w:after="180" w:before="360"/>
      </w:pPr>
      <w:r>
        <w:rPr>
          <w:rFonts w:ascii="Georgia" w:cs="Georgia" w:eastAsia="Georgia" w:hAnsi="Georgia"/>
          <w:b/>
          <w:bCs/>
          <w:color w:val="0F2A44"/>
          <w:sz w:val="34"/>
          <w:szCs w:val="34"/>
        </w:rPr>
        <w:t xml:space="preserve">9. Kurul karar sicili</w:t>
      </w:r>
    </w:p>
    <w:p>
      <w:pPr>
        <w:spacing w:after="140" w:line="300"/>
      </w:pPr>
      <w:r>
        <w:rPr>
          <w:rFonts w:ascii="Calibri" w:cs="Calibri" w:eastAsia="Calibri" w:hAnsi="Calibri"/>
          <w:sz w:val="22"/>
          <w:szCs w:val="22"/>
        </w:rPr>
        <w:t xml:space="preserve">Beş belgenin farklılaştığı ya da saha tespiti ile açık kaynağın ayrıştığı her nokta burada birer karar olarak listelenir. Hiçbiri hata değildir. Her biri saha çalışmasının ürettiği, kamu karşılığıyla yan yana konmuş bir bakış açısıdır; kurulun seçebileceği seçeneklerle. Sicil, Cilt 1 için kurulun gündemidir.</w:t>
      </w:r>
    </w:p>
    <w:p>
      <w:pPr>
        <w:pStyle w:val="Heading3"/>
        <w:spacing w:after="80" w:before="200"/>
      </w:pPr>
      <w:r>
        <w:rPr>
          <w:rFonts w:ascii="Calibri" w:cs="Calibri" w:eastAsia="Calibri" w:hAnsi="Calibri"/>
          <w:b/>
          <w:bCs/>
          <w:color w:val="B5651D"/>
          <w:sz w:val="23"/>
          <w:szCs w:val="23"/>
        </w:rPr>
        <w:t xml:space="preserve">9.1 · RevPAM — metre mi, üye mi?</w:t>
      </w:r>
    </w:p>
    <w:p>
      <w:pPr>
        <w:spacing w:after="140" w:line="300"/>
      </w:pPr>
      <w:r>
        <w:rPr>
          <w:rFonts w:ascii="Calibri" w:cs="Calibri" w:eastAsia="Calibri" w:hAnsi="Calibri"/>
          <w:b/>
          <w:bCs/>
          <w:color w:val="0F2A44"/>
          <w:sz w:val="22"/>
          <w:szCs w:val="22"/>
        </w:rPr>
        <w:t xml:space="preserve">SAHA. </w:t>
      </w:r>
      <w:r>
        <w:rPr>
          <w:rFonts w:ascii="Calibri" w:cs="Calibri" w:eastAsia="Calibri" w:hAnsi="Calibri"/>
          <w:sz w:val="22"/>
          <w:szCs w:val="22"/>
        </w:rPr>
        <w:t xml:space="preserve">B belgesi RevPAM’i kullanılabilir metre başına gelir olarak tanımlar (otel analojisi, alan getirisi). D belgesi kullanılabilir üye başına gelir olarak tanımlar (MemberCo mimarisi, üyelik getirisi). İkisi de aynı saha çalışmasından çıktı.</w:t>
      </w:r>
    </w:p>
    <w:p>
      <w:pPr>
        <w:spacing w:after="140" w:line="300"/>
      </w:pPr>
      <w:r>
        <w:rPr>
          <w:rFonts w:ascii="Calibri" w:cs="Calibri" w:eastAsia="Calibri" w:hAnsi="Calibri"/>
          <w:b/>
          <w:bCs/>
          <w:color w:val="1F6B3A"/>
          <w:sz w:val="22"/>
          <w:szCs w:val="22"/>
        </w:rPr>
        <w:t xml:space="preserve">AÇIK KAYNAK. </w:t>
      </w:r>
      <w:r>
        <w:rPr>
          <w:rFonts w:ascii="Calibri" w:cs="Calibri" w:eastAsia="Calibri" w:hAnsi="Calibri"/>
          <w:sz w:val="22"/>
          <w:szCs w:val="22"/>
        </w:rPr>
        <w:t xml:space="preserve">Oteller fiziksel birimi fiyatlar (</w:t>
      </w:r>
      <w:r>
        <w:rPr>
          <w:rFonts w:ascii="Calibri" w:cs="Calibri" w:eastAsia="Calibri" w:hAnsi="Calibri"/>
          <w:i/>
          <w:iCs/>
          <w:sz w:val="22"/>
          <w:szCs w:val="22"/>
        </w:rPr>
        <w:t xml:space="preserve">RevPAR</w:t>
      </w:r>
      <w:r>
        <w:rPr>
          <w:rStyle w:val="FootnoteReference"/>
        </w:rPr>
        <w:footnoteReference w:id="36"/>
      </w:r>
      <w:r>
        <w:rPr>
          <w:rFonts w:ascii="Calibri" w:cs="Calibri" w:eastAsia="Calibri" w:hAnsi="Calibri"/>
          <w:sz w:val="22"/>
          <w:szCs w:val="22"/>
        </w:rPr>
        <w:t xml:space="preserve">); üyelik operatörleri (esnek ofis, spor) fiziksel birimin yanında üye başına gelir/ARPU raporlar. Net kira havuzunu okuyan alacaklılar sq ft başına sözleşmeli gelire bakar; sponsorlar ve markalar ulaşılan üyeye.</w:t>
      </w:r>
    </w:p>
    <w:p>
      <w:pPr>
        <w:spacing w:after="140" w:line="300"/>
      </w:pPr>
      <w:r>
        <w:rPr>
          <w:rFonts w:ascii="Calibri" w:cs="Calibri" w:eastAsia="Calibri" w:hAnsi="Calibri"/>
          <w:b/>
          <w:bCs/>
          <w:color w:val="B5651D"/>
          <w:sz w:val="22"/>
          <w:szCs w:val="22"/>
        </w:rPr>
        <w:t xml:space="preserve">Seçenekler. </w:t>
      </w:r>
      <w:r>
        <w:rPr>
          <w:rFonts w:ascii="Calibri" w:cs="Calibri" w:eastAsia="Calibri" w:hAnsi="Calibri"/>
          <w:sz w:val="22"/>
          <w:szCs w:val="22"/>
        </w:rPr>
        <w:t xml:space="preserve">A · Birini seç. B · İkisini de tut, farklı şirketlere ata: RevPAM-metre PropCo/OpCo KPI’ı, RevPAM-üye MemberCo KPI’ı, her biri el kitabı sözlüğünde bir kez tanımlı. C · Ortak kısaltmadan kaçınmak için birini yeniden adlandır.</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Madde 9.1</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pPr>
        <w:spacing w:after="60"/>
      </w:pPr>
    </w:p>
    <w:p>
      <w:pPr>
        <w:pStyle w:val="Heading3"/>
        <w:spacing w:after="80" w:before="200"/>
      </w:pPr>
      <w:r>
        <w:rPr>
          <w:rFonts w:ascii="Calibri" w:cs="Calibri" w:eastAsia="Calibri" w:hAnsi="Calibri"/>
          <w:b/>
          <w:bCs/>
          <w:color w:val="B5651D"/>
          <w:sz w:val="23"/>
          <w:szCs w:val="23"/>
        </w:rPr>
        <w:t xml:space="preserve">9.2 · Mülk sahibi kurucu hissesi — %20 mi, %40 mı?</w:t>
      </w:r>
    </w:p>
    <w:p>
      <w:pPr>
        <w:spacing w:after="140" w:line="300"/>
      </w:pPr>
      <w:r>
        <w:rPr>
          <w:rFonts w:ascii="Calibri" w:cs="Calibri" w:eastAsia="Calibri" w:hAnsi="Calibri"/>
          <w:b/>
          <w:bCs/>
          <w:color w:val="0F2A44"/>
          <w:sz w:val="22"/>
          <w:szCs w:val="22"/>
        </w:rPr>
        <w:t xml:space="preserve">SAHA. </w:t>
      </w:r>
      <w:r>
        <w:rPr>
          <w:rFonts w:ascii="Calibri" w:cs="Calibri" w:eastAsia="Calibri" w:hAnsi="Calibri"/>
          <w:sz w:val="22"/>
          <w:szCs w:val="22"/>
        </w:rPr>
        <w:t xml:space="preserve">A belgesi: kira yerine %20 kurucu hisse. E belgesi: mülk sahibine %40, Capital Partner’a %20, kalanı operatöre.</w:t>
      </w:r>
    </w:p>
    <w:p>
      <w:pPr>
        <w:spacing w:after="140" w:line="300"/>
      </w:pPr>
      <w:r>
        <w:rPr>
          <w:rFonts w:ascii="Calibri" w:cs="Calibri" w:eastAsia="Calibri" w:hAnsi="Calibri"/>
          <w:b/>
          <w:bCs/>
          <w:color w:val="1F6B3A"/>
          <w:sz w:val="22"/>
          <w:szCs w:val="22"/>
        </w:rPr>
        <w:t xml:space="preserve">AÇIK KAYNAK. </w:t>
      </w:r>
      <w:r>
        <w:rPr>
          <w:rFonts w:ascii="Calibri" w:cs="Calibri" w:eastAsia="Calibri" w:hAnsi="Calibri"/>
          <w:sz w:val="22"/>
          <w:szCs w:val="22"/>
        </w:rPr>
        <w:t xml:space="preserve">Simon/Brookfield JCPenney’i 50/50 aldı ve %16,67’sini ABG’ye sattı; CBRE Industrious’ta %40’tan %100’e gitti. Sahip/operatör hisse bölüşümlerinde %20–50 bandı piyasada emsalli [32][39].</w:t>
      </w:r>
    </w:p>
    <w:p>
      <w:pPr>
        <w:spacing w:after="140" w:line="300"/>
      </w:pPr>
      <w:r>
        <w:rPr>
          <w:rFonts w:ascii="Calibri" w:cs="Calibri" w:eastAsia="Calibri" w:hAnsi="Calibri"/>
          <w:b/>
          <w:bCs/>
          <w:color w:val="B5651D"/>
          <w:sz w:val="22"/>
          <w:szCs w:val="22"/>
        </w:rPr>
        <w:t xml:space="preserve">Seçenekler. </w:t>
      </w:r>
      <w:r>
        <w:rPr>
          <w:rFonts w:ascii="Calibri" w:cs="Calibri" w:eastAsia="Calibri" w:hAnsi="Calibri"/>
          <w:sz w:val="22"/>
          <w:szCs w:val="22"/>
        </w:rPr>
        <w:t xml:space="preserve">A · Sabit oran. B · Charter’da bir bant (örn. %20–40), varlık bazında katkı değerine göre. C · Kutunun zarar-yazma-sonrası değerine bağlı kayan ölçek.</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Madde 9.2</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pPr>
        <w:spacing w:after="60"/>
      </w:pPr>
    </w:p>
    <w:p>
      <w:pPr>
        <w:pStyle w:val="Heading3"/>
        <w:spacing w:after="80" w:before="200"/>
      </w:pPr>
      <w:r>
        <w:rPr>
          <w:rFonts w:ascii="Calibri" w:cs="Calibri" w:eastAsia="Calibri" w:hAnsi="Calibri"/>
          <w:b/>
          <w:bCs/>
          <w:color w:val="B5651D"/>
          <w:sz w:val="23"/>
          <w:szCs w:val="23"/>
        </w:rPr>
        <w:t xml:space="preserve">9.3 · Hangi kapı, hangi varlık?</w:t>
      </w:r>
    </w:p>
    <w:p>
      <w:pPr>
        <w:spacing w:after="140" w:line="300"/>
      </w:pPr>
      <w:r>
        <w:rPr>
          <w:rFonts w:ascii="Calibri" w:cs="Calibri" w:eastAsia="Calibri" w:hAnsi="Calibri"/>
          <w:b/>
          <w:bCs/>
          <w:color w:val="0F2A44"/>
          <w:sz w:val="22"/>
          <w:szCs w:val="22"/>
        </w:rPr>
        <w:t xml:space="preserve">SAHA. </w:t>
      </w:r>
      <w:r>
        <w:rPr>
          <w:rFonts w:ascii="Calibri" w:cs="Calibri" w:eastAsia="Calibri" w:hAnsi="Calibri"/>
          <w:sz w:val="22"/>
          <w:szCs w:val="22"/>
        </w:rPr>
        <w:t xml:space="preserve">A/E belgeleri sağlam bir sahibin katkısını varsayar; C/D belgeleri zarar yazma sonrası special servicer’dan satın almayı.</w:t>
      </w:r>
    </w:p>
    <w:p>
      <w:pPr>
        <w:spacing w:after="140" w:line="300"/>
      </w:pPr>
      <w:r>
        <w:rPr>
          <w:rFonts w:ascii="Calibri" w:cs="Calibri" w:eastAsia="Calibri" w:hAnsi="Calibri"/>
          <w:b/>
          <w:bCs/>
          <w:color w:val="1F6B3A"/>
          <w:sz w:val="22"/>
          <w:szCs w:val="22"/>
        </w:rPr>
        <w:t xml:space="preserve">AÇIK KAYNAK. </w:t>
      </w:r>
      <w:r>
        <w:rPr>
          <w:rFonts w:ascii="Calibri" w:cs="Calibri" w:eastAsia="Calibri" w:hAnsi="Calibri"/>
          <w:sz w:val="22"/>
          <w:szCs w:val="22"/>
        </w:rPr>
        <w:t xml:space="preserve">Üst sınıf kutuların seyircisi geri geldi [21]; Class B/C kutular CMBS mandası dışında ve %70–80 kayıpla satılıyor [10][12]. İki kapı iki farklı varlık evrenine denk düşüyor.</w:t>
      </w:r>
    </w:p>
    <w:p>
      <w:pPr>
        <w:spacing w:after="140" w:line="300"/>
      </w:pPr>
      <w:r>
        <w:rPr>
          <w:rFonts w:ascii="Calibri" w:cs="Calibri" w:eastAsia="Calibri" w:hAnsi="Calibri"/>
          <w:b/>
          <w:bCs/>
          <w:color w:val="B5651D"/>
          <w:sz w:val="22"/>
          <w:szCs w:val="22"/>
        </w:rPr>
        <w:t xml:space="preserve">Seçenekler. </w:t>
      </w:r>
      <w:r>
        <w:rPr>
          <w:rFonts w:ascii="Calibri" w:cs="Calibri" w:eastAsia="Calibri" w:hAnsi="Calibri"/>
          <w:sz w:val="22"/>
          <w:szCs w:val="22"/>
        </w:rPr>
        <w:t xml:space="preserve">A · Karar kuralı benimse: sahip sağlam ve kutu sahibin kontrolündeyse Kapı 1; kredi zarar yazılmış ya da kutu non-collateral ise Kapı 2. B · İlk mekân için bir kapıyı tercih et, diğerini yedekte tut.</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Madde 9.3</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pPr>
        <w:spacing w:after="60"/>
      </w:pPr>
    </w:p>
    <w:p>
      <w:pPr>
        <w:pStyle w:val="Heading3"/>
        <w:spacing w:after="80" w:before="200"/>
      </w:pPr>
      <w:r>
        <w:rPr>
          <w:rFonts w:ascii="Calibri" w:cs="Calibri" w:eastAsia="Calibri" w:hAnsi="Calibri"/>
          <w:b/>
          <w:bCs/>
          <w:color w:val="B5651D"/>
          <w:sz w:val="23"/>
          <w:szCs w:val="23"/>
        </w:rPr>
        <w:t xml:space="preserve">9.4 · “Not a REIT” (C) ile PEIT (A, B, E).</w:t>
      </w:r>
    </w:p>
    <w:p>
      <w:pPr>
        <w:spacing w:after="140" w:line="300"/>
      </w:pPr>
      <w:r>
        <w:rPr>
          <w:rFonts w:ascii="Calibri" w:cs="Calibri" w:eastAsia="Calibri" w:hAnsi="Calibri"/>
          <w:b/>
          <w:bCs/>
          <w:color w:val="0F2A44"/>
          <w:sz w:val="22"/>
          <w:szCs w:val="22"/>
        </w:rPr>
        <w:t xml:space="preserve">SAHA. </w:t>
      </w:r>
      <w:r>
        <w:rPr>
          <w:rFonts w:ascii="Calibri" w:cs="Calibri" w:eastAsia="Calibri" w:hAnsi="Calibri"/>
          <w:sz w:val="22"/>
          <w:szCs w:val="22"/>
        </w:rPr>
        <w:t xml:space="preserve">C belgesi “GYO ya da AVM operatörü değil” diye açılır; A, B ve E sermaye sarmalı olarak PEIT’i adlandırır.</w:t>
      </w:r>
    </w:p>
    <w:p>
      <w:pPr>
        <w:spacing w:after="140" w:line="300"/>
      </w:pPr>
      <w:r>
        <w:rPr>
          <w:rFonts w:ascii="Calibri" w:cs="Calibri" w:eastAsia="Calibri" w:hAnsi="Calibri"/>
          <w:b/>
          <w:bCs/>
          <w:color w:val="1F6B3A"/>
          <w:sz w:val="22"/>
          <w:szCs w:val="22"/>
        </w:rPr>
        <w:t xml:space="preserve">AÇIK KAYNAK. </w:t>
      </w:r>
      <w:r>
        <w:rPr>
          <w:rFonts w:ascii="Calibri" w:cs="Calibri" w:eastAsia="Calibri" w:hAnsi="Calibri"/>
          <w:sz w:val="22"/>
          <w:szCs w:val="22"/>
        </w:rPr>
        <w:t xml:space="preserve">İkisi de doğru olabilir: C edinim aracının bir sponsor karşısındaki duruşunu, PEIT nihai holding yapısını anlatır. Alacaklı hangi tüzel kişiye kredi verdiğini soracaktır.</w:t>
      </w:r>
    </w:p>
    <w:p>
      <w:pPr>
        <w:spacing w:after="140" w:line="300"/>
      </w:pPr>
      <w:r>
        <w:rPr>
          <w:rFonts w:ascii="Calibri" w:cs="Calibri" w:eastAsia="Calibri" w:hAnsi="Calibri"/>
          <w:b/>
          <w:bCs/>
          <w:color w:val="B5651D"/>
          <w:sz w:val="22"/>
          <w:szCs w:val="22"/>
        </w:rPr>
        <w:t xml:space="preserve">Seçenekler. </w:t>
      </w:r>
      <w:r>
        <w:rPr>
          <w:rFonts w:ascii="Calibri" w:cs="Calibri" w:eastAsia="Calibri" w:hAnsi="Calibri"/>
          <w:sz w:val="22"/>
          <w:szCs w:val="22"/>
        </w:rPr>
        <w:t xml:space="preserve">A · PEIT’i Kapı 1 sarmalı, PropCo/OpCo/MemberCo’yu Kapı 2 sarmalı olarak tanımla ve her iki belgede söyle. B · Terimlerden birini emekliye ayır.</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Madde 9.4</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pPr>
        <w:spacing w:after="60"/>
      </w:pPr>
    </w:p>
    <w:p>
      <w:pPr>
        <w:pStyle w:val="Heading3"/>
        <w:spacing w:after="80" w:before="200"/>
      </w:pPr>
      <w:r>
        <w:rPr>
          <w:rFonts w:ascii="Calibri" w:cs="Calibri" w:eastAsia="Calibri" w:hAnsi="Calibri"/>
          <w:b/>
          <w:bCs/>
          <w:color w:val="B5651D"/>
          <w:sz w:val="23"/>
          <w:szCs w:val="23"/>
        </w:rPr>
        <w:t xml:space="preserve">9.5 · %72,7 rakamı — yeri ve etiketi.</w:t>
      </w:r>
    </w:p>
    <w:p>
      <w:pPr>
        <w:spacing w:after="140" w:line="300"/>
      </w:pPr>
      <w:r>
        <w:rPr>
          <w:rFonts w:ascii="Calibri" w:cs="Calibri" w:eastAsia="Calibri" w:hAnsi="Calibri"/>
          <w:b/>
          <w:bCs/>
          <w:color w:val="0F2A44"/>
          <w:sz w:val="22"/>
          <w:szCs w:val="22"/>
        </w:rPr>
        <w:t xml:space="preserve">SAHA. </w:t>
      </w:r>
      <w:r>
        <w:rPr>
          <w:rFonts w:ascii="Calibri" w:cs="Calibri" w:eastAsia="Calibri" w:hAnsi="Calibri"/>
          <w:sz w:val="22"/>
          <w:szCs w:val="22"/>
        </w:rPr>
        <w:t xml:space="preserve">C belgesi %72,7’yi “perakendenin duvar içindeki yeri” altında gösterir. Kurul (9 Eylül): tespit olarak kalsın.</w:t>
      </w:r>
    </w:p>
    <w:p>
      <w:pPr>
        <w:spacing w:after="140" w:line="300"/>
      </w:pPr>
      <w:r>
        <w:rPr>
          <w:rFonts w:ascii="Calibri" w:cs="Calibri" w:eastAsia="Calibri" w:hAnsi="Calibri"/>
          <w:b/>
          <w:bCs/>
          <w:color w:val="1F6B3A"/>
          <w:sz w:val="22"/>
          <w:szCs w:val="22"/>
        </w:rPr>
        <w:t xml:space="preserve">AÇIK KAYNAK. </w:t>
      </w:r>
      <w:r>
        <w:rPr>
          <w:rFonts w:ascii="Calibri" w:cs="Calibri" w:eastAsia="Calibri" w:hAnsi="Calibri"/>
          <w:sz w:val="22"/>
          <w:szCs w:val="22"/>
        </w:rPr>
        <w:t xml:space="preserve">Tasfiye edilen on kredinin yedisi ofisti; en yüksek iki kayıp ofisti [12]. Rakam mülk tipleri boyunca eskime fiyatlamasını kanıtlar; Bölüm 6’nın ihtiyacı budur.</w:t>
      </w:r>
    </w:p>
    <w:p>
      <w:pPr>
        <w:spacing w:after="140" w:line="300"/>
      </w:pPr>
      <w:r>
        <w:rPr>
          <w:rFonts w:ascii="Calibri" w:cs="Calibri" w:eastAsia="Calibri" w:hAnsi="Calibri"/>
          <w:b/>
          <w:bCs/>
          <w:color w:val="B5651D"/>
          <w:sz w:val="22"/>
          <w:szCs w:val="22"/>
        </w:rPr>
        <w:t xml:space="preserve">Seçenekler. </w:t>
      </w:r>
      <w:r>
        <w:rPr>
          <w:rFonts w:ascii="Calibri" w:cs="Calibri" w:eastAsia="Calibri" w:hAnsi="Calibri"/>
          <w:sz w:val="22"/>
          <w:szCs w:val="22"/>
        </w:rPr>
        <w:t xml:space="preserve">A · Tut, “tüm mülk tipleri, ofis ağırlıklı” etiketi ekle. B · Tut, Pecanland ile birlikte genel bir “eskimenin fiyatı” bloğuna taşı.</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Madde 9.5</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pPr>
        <w:spacing w:after="60"/>
      </w:pPr>
    </w:p>
    <w:p>
      <w:pPr>
        <w:pStyle w:val="Heading3"/>
        <w:spacing w:after="80" w:before="200"/>
      </w:pPr>
      <w:r>
        <w:rPr>
          <w:rFonts w:ascii="Calibri" w:cs="Calibri" w:eastAsia="Calibri" w:hAnsi="Calibri"/>
          <w:b/>
          <w:bCs/>
          <w:color w:val="B5651D"/>
          <w:sz w:val="23"/>
          <w:szCs w:val="23"/>
        </w:rPr>
        <w:t xml:space="preserve">9.6 · Kapı 2’de eşik (otopark) ekonomisi.</w:t>
      </w:r>
    </w:p>
    <w:p>
      <w:pPr>
        <w:spacing w:after="140" w:line="300"/>
      </w:pPr>
      <w:r>
        <w:rPr>
          <w:rFonts w:ascii="Calibri" w:cs="Calibri" w:eastAsia="Calibri" w:hAnsi="Calibri"/>
          <w:b/>
          <w:bCs/>
          <w:color w:val="0F2A44"/>
          <w:sz w:val="22"/>
          <w:szCs w:val="22"/>
        </w:rPr>
        <w:t xml:space="preserve">SAHA. </w:t>
      </w:r>
      <w:r>
        <w:rPr>
          <w:rFonts w:ascii="Calibri" w:cs="Calibri" w:eastAsia="Calibri" w:hAnsi="Calibri"/>
          <w:sz w:val="22"/>
          <w:szCs w:val="22"/>
        </w:rPr>
        <w:t xml:space="preserve">A belgesi otoparka “sokağın eşiği” ve bonus hat der; D belgesi eşik hatlarını Kova 3’e (saf artı-değer) koyar. Kapı 2’de otopark genellikle kutunun değil AVM’nindir.</w:t>
      </w:r>
    </w:p>
    <w:p>
      <w:pPr>
        <w:spacing w:after="140" w:line="300"/>
      </w:pPr>
      <w:r>
        <w:rPr>
          <w:rFonts w:ascii="Calibri" w:cs="Calibri" w:eastAsia="Calibri" w:hAnsi="Calibri"/>
          <w:b/>
          <w:bCs/>
          <w:color w:val="1F6B3A"/>
          <w:sz w:val="22"/>
          <w:szCs w:val="22"/>
        </w:rPr>
        <w:t xml:space="preserve">AÇIK KAYNAK. </w:t>
      </w:r>
      <w:r>
        <w:rPr>
          <w:rFonts w:ascii="Calibri" w:cs="Calibri" w:eastAsia="Calibri" w:hAnsi="Calibri"/>
          <w:sz w:val="22"/>
          <w:szCs w:val="22"/>
        </w:rPr>
        <w:t xml:space="preserve">Volta’nın çöküşü eşik hatlarının bir işi taşıyamayacağını gösterir [36][37]; AVM sahibiyle lisans bedeli ya da gelir paylaşımı olarak küçük, gerçek bir hattır.</w:t>
      </w:r>
    </w:p>
    <w:p>
      <w:pPr>
        <w:spacing w:after="140" w:line="300"/>
      </w:pPr>
      <w:r>
        <w:rPr>
          <w:rFonts w:ascii="Calibri" w:cs="Calibri" w:eastAsia="Calibri" w:hAnsi="Calibri"/>
          <w:b/>
          <w:bCs/>
          <w:color w:val="B5651D"/>
          <w:sz w:val="22"/>
          <w:szCs w:val="22"/>
        </w:rPr>
        <w:t xml:space="preserve">Seçenekler. </w:t>
      </w:r>
      <w:r>
        <w:rPr>
          <w:rFonts w:ascii="Calibri" w:cs="Calibri" w:eastAsia="Calibri" w:hAnsi="Calibri"/>
          <w:sz w:val="22"/>
          <w:szCs w:val="22"/>
        </w:rPr>
        <w:t xml:space="preserve">A · AVM sahibine sabit lisans bedeli. B · Kova 3 eşik hatlarında gelir paylaşımı. C · İlk mekânda otoparkı kapsam dışı bırak.</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Madde 9.6</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pPr>
        <w:spacing w:after="60"/>
      </w:pPr>
    </w:p>
    <w:p>
      <w:pPr>
        <w:pStyle w:val="Heading3"/>
        <w:spacing w:after="80" w:before="200"/>
      </w:pPr>
      <w:r>
        <w:rPr>
          <w:rFonts w:ascii="Calibri" w:cs="Calibri" w:eastAsia="Calibri" w:hAnsi="Calibri"/>
          <w:b/>
          <w:bCs/>
          <w:color w:val="B5651D"/>
          <w:sz w:val="23"/>
          <w:szCs w:val="23"/>
        </w:rPr>
        <w:t xml:space="preserve">9.7 · E belgesindeki pazar boyutlandırma.</w:t>
      </w:r>
    </w:p>
    <w:p>
      <w:pPr>
        <w:spacing w:after="140" w:line="300"/>
      </w:pPr>
      <w:r>
        <w:rPr>
          <w:rFonts w:ascii="Calibri" w:cs="Calibri" w:eastAsia="Calibri" w:hAnsi="Calibri"/>
          <w:b/>
          <w:bCs/>
          <w:color w:val="0F2A44"/>
          <w:sz w:val="22"/>
          <w:szCs w:val="22"/>
        </w:rPr>
        <w:t xml:space="preserve">SAHA. </w:t>
      </w:r>
      <w:r>
        <w:rPr>
          <w:rFonts w:ascii="Calibri" w:cs="Calibri" w:eastAsia="Calibri" w:hAnsi="Calibri"/>
          <w:sz w:val="22"/>
          <w:szCs w:val="22"/>
        </w:rPr>
        <w:t xml:space="preserve">E; $85B AVM vadesi (%60 batık), 1.460 karanlık çapa / 187,5M sq ft, −%40 trafik, 78→42 dk kalış ve $4,5B ARR’a uzanan penetrasyon senaryoları taşır.</w:t>
      </w:r>
    </w:p>
    <w:p>
      <w:pPr>
        <w:spacing w:after="140" w:line="300"/>
      </w:pPr>
      <w:r>
        <w:rPr>
          <w:rFonts w:ascii="Calibri" w:cs="Calibri" w:eastAsia="Calibri" w:hAnsi="Calibri"/>
          <w:b/>
          <w:bCs/>
          <w:color w:val="1F6B3A"/>
          <w:sz w:val="22"/>
          <w:szCs w:val="22"/>
        </w:rPr>
        <w:t xml:space="preserve">AÇIK KAYNAK. </w:t>
      </w:r>
      <w:r>
        <w:rPr>
          <w:rFonts w:ascii="Calibri" w:cs="Calibri" w:eastAsia="Calibri" w:hAnsi="Calibri"/>
          <w:sz w:val="22"/>
          <w:szCs w:val="22"/>
        </w:rPr>
        <w:t xml:space="preserve">Hiçbir kamu kaynağı AVM vadelerini bu şekilde ayırmaz; trafik ve kalış rakamları üst sınıfta çürütülmüş [21][24], Class B/C’de kısmen destekli [17]; çapa sayıları kaynaksız ama mertebe makul [18][19]; ARR senaryoları hiçbir mekân çalışmadan projeksiyon.</w:t>
      </w:r>
    </w:p>
    <w:p>
      <w:pPr>
        <w:spacing w:after="140" w:line="300"/>
      </w:pPr>
      <w:r>
        <w:rPr>
          <w:rFonts w:ascii="Calibri" w:cs="Calibri" w:eastAsia="Calibri" w:hAnsi="Calibri"/>
          <w:b/>
          <w:bCs/>
          <w:color w:val="B5651D"/>
          <w:sz w:val="22"/>
          <w:szCs w:val="22"/>
        </w:rPr>
        <w:t xml:space="preserve">Seçenekler. </w:t>
      </w:r>
      <w:r>
        <w:rPr>
          <w:rFonts w:ascii="Calibri" w:cs="Calibri" w:eastAsia="Calibri" w:hAnsi="Calibri"/>
          <w:sz w:val="22"/>
          <w:szCs w:val="22"/>
        </w:rPr>
        <w:t xml:space="preserve">A · E’yi Bölüm 2’deki kaynaklı rakamlara göre yeniden temelle ve projeksiyonları projeksiyon olarak etiketle. B · E’yi el kitabının parçası değil, iç boyutlandırma notu olarak tut. C · E’nin boyutlandırmasını One Box ilkesiyle değiştir — sponsorun ekibi odaya girene kadar P&amp;L yok.</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Madde 9.7</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pPr>
        <w:spacing w:after="60"/>
      </w:pPr>
    </w:p>
    <w:p>
      <w:pPr>
        <w:pStyle w:val="Heading3"/>
        <w:spacing w:after="80" w:before="200"/>
      </w:pPr>
      <w:r>
        <w:rPr>
          <w:rFonts w:ascii="Calibri" w:cs="Calibri" w:eastAsia="Calibri" w:hAnsi="Calibri"/>
          <w:b/>
          <w:bCs/>
          <w:color w:val="B5651D"/>
          <w:sz w:val="23"/>
          <w:szCs w:val="23"/>
        </w:rPr>
        <w:t xml:space="preserve">9.8 · Çapa talep anlaşmaları ve CBL — statü dili.</w:t>
      </w:r>
    </w:p>
    <w:p>
      <w:pPr>
        <w:spacing w:after="140" w:line="300"/>
      </w:pPr>
      <w:r>
        <w:rPr>
          <w:rFonts w:ascii="Calibri" w:cs="Calibri" w:eastAsia="Calibri" w:hAnsi="Calibri"/>
          <w:b/>
          <w:bCs/>
          <w:color w:val="0F2A44"/>
          <w:sz w:val="22"/>
          <w:szCs w:val="22"/>
        </w:rPr>
        <w:t xml:space="preserve">SAHA. </w:t>
      </w:r>
      <w:r>
        <w:rPr>
          <w:rFonts w:ascii="Calibri" w:cs="Calibri" w:eastAsia="Calibri" w:hAnsi="Calibri"/>
          <w:sz w:val="22"/>
          <w:szCs w:val="22"/>
        </w:rPr>
        <w:t xml:space="preserve">E: CBL LOI “sözleşme aşamasında”; A (Temmuz 2026): çapa talep anlaşmaları “müzakerede — imzalanmadı.” E, Amazon, Rivian, Sony’yi yeni nesil çapa olarak anar.</w:t>
      </w:r>
    </w:p>
    <w:p>
      <w:pPr>
        <w:spacing w:after="140" w:line="300"/>
      </w:pPr>
      <w:r>
        <w:rPr>
          <w:rFonts w:ascii="Calibri" w:cs="Calibri" w:eastAsia="Calibri" w:hAnsi="Calibri"/>
          <w:b/>
          <w:bCs/>
          <w:color w:val="1F6B3A"/>
          <w:sz w:val="22"/>
          <w:szCs w:val="22"/>
        </w:rPr>
        <w:t xml:space="preserve">AÇIK KAYNAK. </w:t>
      </w:r>
      <w:r>
        <w:rPr>
          <w:rFonts w:ascii="Calibri" w:cs="Calibri" w:eastAsia="Calibri" w:hAnsi="Calibri"/>
          <w:sz w:val="22"/>
          <w:szCs w:val="22"/>
        </w:rPr>
        <w:t xml:space="preserve">CBL artık 85 mülk / 54,8M sq ft raporluyor [26]. Aday kontrol edecektir.</w:t>
      </w:r>
    </w:p>
    <w:p>
      <w:pPr>
        <w:spacing w:after="140" w:line="300"/>
      </w:pPr>
      <w:r>
        <w:rPr>
          <w:rFonts w:ascii="Calibri" w:cs="Calibri" w:eastAsia="Calibri" w:hAnsi="Calibri"/>
          <w:b/>
          <w:bCs/>
          <w:color w:val="B5651D"/>
          <w:sz w:val="22"/>
          <w:szCs w:val="22"/>
        </w:rPr>
        <w:t xml:space="preserve">Seçenekler. </w:t>
      </w:r>
      <w:r>
        <w:rPr>
          <w:rFonts w:ascii="Calibri" w:cs="Calibri" w:eastAsia="Calibri" w:hAnsi="Calibri"/>
          <w:sz w:val="22"/>
          <w:szCs w:val="22"/>
        </w:rPr>
        <w:t xml:space="preserve">A · Her karşı taraf için tek statü satırı; diligence sicilinde tutulur, tüm belgelere yansır. B · Markaları yalnızca yazılı statüyle an; aksi hâlde kategori kullan.</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Madde 9.8</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pPr>
        <w:spacing w:after="60"/>
      </w:pPr>
    </w:p>
    <w:p>
      <w:pPr>
        <w:pStyle w:val="Heading3"/>
        <w:spacing w:after="80" w:before="200"/>
      </w:pPr>
      <w:r>
        <w:rPr>
          <w:rFonts w:ascii="Calibri" w:cs="Calibri" w:eastAsia="Calibri" w:hAnsi="Calibri"/>
          <w:b/>
          <w:bCs/>
          <w:color w:val="B5651D"/>
          <w:sz w:val="23"/>
          <w:szCs w:val="23"/>
        </w:rPr>
        <w:t xml:space="preserve">9.9 · Bölüm 7’yi yayımla mı, sakla mı?</w:t>
      </w:r>
    </w:p>
    <w:p>
      <w:pPr>
        <w:spacing w:after="140" w:line="300"/>
      </w:pPr>
      <w:r>
        <w:rPr>
          <w:rFonts w:ascii="Calibri" w:cs="Calibri" w:eastAsia="Calibri" w:hAnsi="Calibri"/>
          <w:b/>
          <w:bCs/>
          <w:color w:val="0F2A44"/>
          <w:sz w:val="22"/>
          <w:szCs w:val="22"/>
        </w:rPr>
        <w:t xml:space="preserve">SAHA. </w:t>
      </w:r>
      <w:r>
        <w:rPr>
          <w:rFonts w:ascii="Calibri" w:cs="Calibri" w:eastAsia="Calibri" w:hAnsi="Calibri"/>
          <w:sz w:val="22"/>
          <w:szCs w:val="22"/>
        </w:rPr>
        <w:t xml:space="preserve">One Box: “P&amp;L yok. Penetrasyon tablosu yok. Kurucu hatları gösterir; sponsorun seçtiği ekip rakamları kurar.”</w:t>
      </w:r>
    </w:p>
    <w:p>
      <w:pPr>
        <w:spacing w:after="140" w:line="300"/>
      </w:pPr>
      <w:r>
        <w:rPr>
          <w:rFonts w:ascii="Calibri" w:cs="Calibri" w:eastAsia="Calibri" w:hAnsi="Calibri"/>
          <w:b/>
          <w:bCs/>
          <w:color w:val="1F6B3A"/>
          <w:sz w:val="22"/>
          <w:szCs w:val="22"/>
        </w:rPr>
        <w:t xml:space="preserve">AÇIK KAYNAK. </w:t>
      </w:r>
      <w:r>
        <w:rPr>
          <w:rFonts w:ascii="Calibri" w:cs="Calibri" w:eastAsia="Calibri" w:hAnsi="Calibri"/>
          <w:sz w:val="22"/>
          <w:szCs w:val="22"/>
        </w:rPr>
        <w:t xml:space="preserve">Mülk sahibi CFO’ları sponsor seçilmeden yapı ister; Bölüm 7’deki illüstrasyon tahmin değil yapı gösterir.</w:t>
      </w:r>
    </w:p>
    <w:p>
      <w:pPr>
        <w:spacing w:after="140" w:line="300"/>
      </w:pPr>
      <w:r>
        <w:rPr>
          <w:rFonts w:ascii="Calibri" w:cs="Calibri" w:eastAsia="Calibri" w:hAnsi="Calibri"/>
          <w:b/>
          <w:bCs/>
          <w:color w:val="B5651D"/>
          <w:sz w:val="22"/>
          <w:szCs w:val="22"/>
        </w:rPr>
        <w:t xml:space="preserve">Seçenekler. </w:t>
      </w:r>
      <w:r>
        <w:rPr>
          <w:rFonts w:ascii="Calibri" w:cs="Calibri" w:eastAsia="Calibri" w:hAnsi="Calibri"/>
          <w:sz w:val="22"/>
          <w:szCs w:val="22"/>
        </w:rPr>
        <w:t xml:space="preserve">A · Etiketli VMA illüstrasyonu olarak yayımla. B · Sponsorun ekibi odaya girene kadar sakla. C · Yalnızca yapı tablosunu yayımla, tüm mekân nakit rakamları boş.</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Madde 9.9</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pPr>
        <w:spacing w:after="60"/>
      </w:pPr>
    </w:p>
    <w:p>
      <w:pPr>
        <w:pStyle w:val="Heading3"/>
        <w:spacing w:after="80" w:before="200"/>
      </w:pPr>
      <w:r>
        <w:rPr>
          <w:rFonts w:ascii="Calibri" w:cs="Calibri" w:eastAsia="Calibri" w:hAnsi="Calibri"/>
          <w:b/>
          <w:bCs/>
          <w:color w:val="B5651D"/>
          <w:sz w:val="23"/>
          <w:szCs w:val="23"/>
        </w:rPr>
        <w:t xml:space="preserve">9.10 · Vitrin markaları.</w:t>
      </w:r>
    </w:p>
    <w:p>
      <w:pPr>
        <w:spacing w:after="140" w:line="300"/>
      </w:pPr>
      <w:r>
        <w:rPr>
          <w:rFonts w:ascii="Calibri" w:cs="Calibri" w:eastAsia="Calibri" w:hAnsi="Calibri"/>
          <w:b/>
          <w:bCs/>
          <w:color w:val="0F2A44"/>
          <w:sz w:val="22"/>
          <w:szCs w:val="22"/>
        </w:rPr>
        <w:t xml:space="preserve">SAHA. </w:t>
      </w:r>
      <w:r>
        <w:rPr>
          <w:rFonts w:ascii="Calibri" w:cs="Calibri" w:eastAsia="Calibri" w:hAnsi="Calibri"/>
          <w:sz w:val="22"/>
          <w:szCs w:val="22"/>
        </w:rPr>
        <w:t xml:space="preserve">Belgelerde 5th Wall™, FifthWall PE, Fifth Wall Phygital Elements, Atmosphere™, PEIT™ kullanılıyor.</w:t>
      </w:r>
    </w:p>
    <w:p>
      <w:pPr>
        <w:spacing w:after="140" w:line="300"/>
      </w:pPr>
      <w:r>
        <w:rPr>
          <w:rFonts w:ascii="Calibri" w:cs="Calibri" w:eastAsia="Calibri" w:hAnsi="Calibri"/>
          <w:b/>
          <w:bCs/>
          <w:color w:val="1F6B3A"/>
          <w:sz w:val="22"/>
          <w:szCs w:val="22"/>
        </w:rPr>
        <w:t xml:space="preserve">AÇIK KAYNAK. </w:t>
      </w:r>
      <w:r>
        <w:rPr>
          <w:rFonts w:ascii="Calibri" w:cs="Calibri" w:eastAsia="Calibri" w:hAnsi="Calibri"/>
          <w:sz w:val="22"/>
          <w:szCs w:val="22"/>
        </w:rPr>
        <w:t xml:space="preserve">Fifth Wall, sınırlı ortakları arasında büyük GYO’ların — yani Kapı 1’in tam hedef kitlesinin — bulunduğu yerleşik bir ABD proptech risk sermayesi şirketinin adıdır.</w:t>
      </w:r>
    </w:p>
    <w:p>
      <w:pPr>
        <w:spacing w:after="140" w:line="300"/>
      </w:pPr>
      <w:r>
        <w:rPr>
          <w:rFonts w:ascii="Calibri" w:cs="Calibri" w:eastAsia="Calibri" w:hAnsi="Calibri"/>
          <w:b/>
          <w:bCs/>
          <w:color w:val="B5651D"/>
          <w:sz w:val="22"/>
          <w:szCs w:val="22"/>
        </w:rPr>
        <w:t xml:space="preserve">Seçenekler. </w:t>
      </w:r>
      <w:r>
        <w:rPr>
          <w:rFonts w:ascii="Calibri" w:cs="Calibri" w:eastAsia="Calibri" w:hAnsi="Calibri"/>
          <w:sz w:val="22"/>
          <w:szCs w:val="22"/>
        </w:rPr>
        <w:t xml:space="preserve">A · ABD temasından önce hukuk ve marka incelemesi. B · Atmosphere™ ve A Level Alliances ile öne çık; 5th Wall™’u motor markası olarak tut.</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Madde 9.10</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pPr>
        <w:spacing w:after="60"/>
      </w:pPr>
    </w:p>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10. Term sheet iskeletleri — iki kapı</w:t>
      </w:r>
    </w:p>
    <w:p>
      <w:pPr>
        <w:spacing w:after="140" w:line="300"/>
      </w:pPr>
      <w:r>
        <w:rPr>
          <w:rFonts w:ascii="Calibri" w:cs="Calibri" w:eastAsia="Calibri" w:hAnsi="Calibri"/>
          <w:sz w:val="22"/>
          <w:szCs w:val="22"/>
        </w:rPr>
        <w:t xml:space="preserve">Konuşma bir belgeyle bitmeli. Köşeli parantezli değerler Charter içindir. Kapı 1 mülk sahibi term sheet’i; Kapı 2 komşu anlaşması. Çıkış hükümleri için </w:t>
      </w:r>
      <w:r>
        <w:rPr>
          <w:rFonts w:ascii="Calibri" w:cs="Calibri" w:eastAsia="Calibri" w:hAnsi="Calibri"/>
          <w:i/>
          <w:iCs/>
          <w:sz w:val="22"/>
          <w:szCs w:val="22"/>
        </w:rPr>
        <w:t xml:space="preserve">tag / drag</w:t>
      </w:r>
      <w:r>
        <w:rPr>
          <w:rStyle w:val="FootnoteReference"/>
        </w:rPr>
        <w:footnoteReference w:id="37"/>
      </w:r>
      <w:r>
        <w:rPr>
          <w:rFonts w:ascii="Calibri" w:cs="Calibri" w:eastAsia="Calibri" w:hAnsi="Calibri"/>
          <w:sz w:val="22"/>
          <w:szCs w:val="22"/>
        </w:rPr>
        <w:t xml:space="preserve"> ve ROFR standart dildir.</w:t>
      </w:r>
    </w:p>
    <w:p>
      <w:pPr>
        <w:pStyle w:val="Heading2"/>
        <w:spacing w:after="120" w:before="260"/>
      </w:pPr>
      <w:r>
        <w:rPr>
          <w:rFonts w:ascii="Georgia" w:cs="Georgia" w:eastAsia="Georgia" w:hAnsi="Georgia"/>
          <w:b/>
          <w:bCs/>
          <w:color w:val="0F2A44"/>
          <w:sz w:val="26"/>
          <w:szCs w:val="26"/>
        </w:rPr>
        <w:t xml:space="preserve">10.1 Kapı 1 — mülk sahibi katkısı (on iki satır)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
        <w:gridCol w:w="1700"/>
        <w:gridCol w:w="7210"/>
      </w:tblGrid>
      <w:tr>
        <w:trPr>
          <w:tblHeader/>
        </w:trPr>
        <w:tc>
          <w:tcPr>
            <w:tcW w:type="dxa" w:w="45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t>
            </w:r>
          </w:p>
        </w:tc>
        <w:tc>
          <w:tcPr>
            <w:tcW w:type="dxa" w:w="17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Şart</w:t>
            </w:r>
          </w:p>
        </w:tc>
        <w:tc>
          <w:tcPr>
            <w:tcW w:type="dxa" w:w="721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İskelet</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w:t>
            </w:r>
          </w:p>
        </w:tc>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Katkı</w:t>
            </w:r>
          </w:p>
        </w:tc>
        <w:tc>
          <w:tcPr>
            <w:tcW w:type="dxa" w:w="72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[kutu, sq ft] kullanım hakları, ortak alan medya/modül alanı ve eşik hakları, ayni olarak, kararlaştırılmış [$] katkı değeriyle.</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w:t>
            </w:r>
          </w:p>
        </w:tc>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Hisse</w:t>
            </w:r>
          </w:p>
        </w:tc>
        <w:tc>
          <w:tcPr>
            <w:tcW w:type="dxa" w:w="72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Mülk sahibi %[20–40] kurucu hisse (madde 9.2); Capital Partner iç donatım, demirbaş ve işletme sermayesi [$] için %[20]; kalan Operatör.</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3</w:t>
            </w:r>
          </w:p>
        </w:tc>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Taban</w:t>
            </w:r>
          </w:p>
        </w:tc>
        <w:tc>
          <w:tcPr>
            <w:tcW w:type="dxa" w:w="72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Katılan alanda son üç yıl ortalama kira, Operatör garantisiyle; açık üç ayda bir ödenir; [kilometre taşlarında] artış.</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4</w:t>
            </w:r>
          </w:p>
        </w:tc>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Süre</w:t>
            </w:r>
          </w:p>
        </w:tc>
        <w:tc>
          <w:tcPr>
            <w:tcW w:type="dxa" w:w="72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[10] yıl + [2 × 5] opsiyon.</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5</w:t>
            </w:r>
          </w:p>
        </w:tc>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Teslim</w:t>
            </w:r>
          </w:p>
        </w:tc>
        <w:tc>
          <w:tcPr>
            <w:tcW w:type="dxa" w:w="72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Mülk sahibi “Phygital-Ready” kabuğu Spek [X]’e göre [tarih]e kadar teslim eder; Operatör teslimden 90 gün içinde açar.</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6</w:t>
            </w:r>
          </w:p>
        </w:tc>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CapEx</w:t>
            </w:r>
          </w:p>
        </w:tc>
        <w:tc>
          <w:tcPr>
            <w:tcW w:type="dxa" w:w="72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Mülk sahibi $0; Capital Partner Çizelge [A]’yı fonlar; Operatör teknoloji ve demirbaşı.</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7</w:t>
            </w:r>
          </w:p>
        </w:tc>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Alacaklı</w:t>
            </w:r>
          </w:p>
        </w:tc>
        <w:tc>
          <w:tcPr>
            <w:tcW w:type="dxa" w:w="72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Alacaklı konsenti ve SNDA ön koşul; Operatör underwriting paketini sağlar.</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8</w:t>
            </w:r>
          </w:p>
        </w:tc>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Co-tenancy</w:t>
            </w:r>
          </w:p>
        </w:tc>
        <w:tc>
          <w:tcPr>
            <w:tcW w:type="dxa" w:w="72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Atmosphere™ sıra dükkân testleri için dolu çapa sayılır; Mülk sahibi münhasırlıkları Çizelge [B]’de yeniden yazar.</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9</w:t>
            </w:r>
          </w:p>
        </w:tc>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Veri ve medya</w:t>
            </w:r>
          </w:p>
        </w:tc>
        <w:tc>
          <w:tcPr>
            <w:tcW w:type="dxa" w:w="72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Onaylı, gizlilik-öncelikli; Mülk sahibi onay listesi; tohum sponsor için kategori münhasırlığı; medya gelir paylaşımı Çizelge [C].</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10</w:t>
            </w:r>
          </w:p>
        </w:tc>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Yönetişim</w:t>
            </w:r>
          </w:p>
        </w:tc>
        <w:tc>
          <w:tcPr>
            <w:tcW w:type="dxa" w:w="72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Kurul koltuğu/gözlemci; aylık RevPAM (madde 9.1) ve satır satır P&amp;L; denetim hakları; sonraki [N] kutuda ilk bakış.</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11</w:t>
            </w:r>
          </w:p>
        </w:tc>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Çıkış</w:t>
            </w:r>
          </w:p>
        </w:tc>
        <w:tc>
          <w:tcPr>
            <w:tcW w:type="dxa" w:w="72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Tag/drag, Operatör payında ROFR, fesihte iyileştirilmiş kabuğun iadesi.</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12</w:t>
            </w:r>
          </w:p>
        </w:tc>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GYO yapılandırması</w:t>
            </w:r>
          </w:p>
        </w:tc>
        <w:tc>
          <w:tcPr>
            <w:tcW w:type="dxa" w:w="72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Mülk sahibi payı TRS üzerinden ya da nitelikli kira + katılım olarak; vergi danışmanı görüşü ön koşul.</w:t>
            </w:r>
          </w:p>
        </w:tc>
      </w:tr>
    </w:tbl>
    <w:p>
      <w:pPr>
        <w:spacing w:after="120"/>
      </w:pPr>
    </w:p>
    <w:p>
      <w:pPr>
        <w:pStyle w:val="Heading2"/>
        <w:spacing w:after="120" w:before="260"/>
      </w:pPr>
      <w:r>
        <w:rPr>
          <w:rFonts w:ascii="Georgia" w:cs="Georgia" w:eastAsia="Georgia" w:hAnsi="Georgia"/>
          <w:b/>
          <w:bCs/>
          <w:color w:val="0F2A44"/>
          <w:sz w:val="26"/>
          <w:szCs w:val="26"/>
        </w:rPr>
        <w:t xml:space="preserve">10.2 Kapı 2 — AVM sahibiyle komşu anlaşması (sekiz satır)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
        <w:gridCol w:w="1900"/>
        <w:gridCol w:w="7010"/>
      </w:tblGrid>
      <w:tr>
        <w:trPr>
          <w:tblHeader/>
        </w:trPr>
        <w:tc>
          <w:tcPr>
            <w:tcW w:type="dxa" w:w="45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t>
            </w:r>
          </w:p>
        </w:tc>
        <w:tc>
          <w:tcPr>
            <w:tcW w:type="dxa" w:w="19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Şart</w:t>
            </w:r>
          </w:p>
        </w:tc>
        <w:tc>
          <w:tcPr>
            <w:tcW w:type="dxa" w:w="701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İskelet</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w:t>
            </w:r>
          </w:p>
        </w:tc>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REA değişikliği</w:t>
            </w:r>
          </w:p>
        </w:tc>
        <w:tc>
          <w:tcPr>
            <w:tcW w:type="dxa" w:w="70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Parsel [X]’te izinli kullanımlar pazar yeri, toplantı, medya ve etkinliğe genişletilir; saatler [ ]; tabela [ ].</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w:t>
            </w:r>
          </w:p>
        </w:tc>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Co-tenancy tanınması</w:t>
            </w:r>
          </w:p>
        </w:tc>
        <w:tc>
          <w:tcPr>
            <w:tcW w:type="dxa" w:w="70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AVM Sahibi, [tarih]ten itibaren tüm sıra dükkân co-tenancy hükümleri için Atmosphere™’i işleyen çapa olarak kabul eder.</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3</w:t>
            </w:r>
          </w:p>
        </w:tc>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Eşik lisansı</w:t>
            </w:r>
          </w:p>
        </w:tc>
        <w:tc>
          <w:tcPr>
            <w:tcW w:type="dxa" w:w="70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[kullanımlar] için otopark ve kaldırım hakları; [sabit bedel / Kova 3 eşik hatlarında gelir paylaşımı] (madde 9.6).</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4</w:t>
            </w:r>
          </w:p>
        </w:tc>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Koridor erişimi</w:t>
            </w:r>
          </w:p>
        </w:tc>
        <w:tc>
          <w:tcPr>
            <w:tcW w:type="dxa" w:w="70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Koridor tarafı kapı ve [sq ft] ortak alan modül/medya alanı [şartlarla].</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5</w:t>
            </w:r>
          </w:p>
        </w:tc>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Estoppel</w:t>
            </w:r>
          </w:p>
        </w:tc>
        <w:tc>
          <w:tcPr>
            <w:tcW w:type="dxa" w:w="70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AVM Sahibi, talepten [gün] içinde kira havuzu finansörüne REA ve co-tenancy estoppel’lerini verir.</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6</w:t>
            </w:r>
          </w:p>
        </w:tc>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Maliyet paylaşımı</w:t>
            </w:r>
          </w:p>
        </w:tc>
        <w:tc>
          <w:tcPr>
            <w:tcW w:type="dxa" w:w="70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Ortak alan, güvenlik ve altyapı REA’ya göre [esas] ile paylaşılır; iç donatıma katkı yok.</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7</w:t>
            </w:r>
          </w:p>
        </w:tc>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İlk bakış</w:t>
            </w:r>
          </w:p>
        </w:tc>
        <w:tc>
          <w:tcPr>
            <w:tcW w:type="dxa" w:w="70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AVM Sahibi, mülkteki başka karanlık kutu için Kapı 1 şartlarında ilk bakış hakkı alır.</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8</w:t>
            </w:r>
          </w:p>
        </w:tc>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Süre</w:t>
            </w:r>
          </w:p>
        </w:tc>
        <w:tc>
          <w:tcPr>
            <w:tcW w:type="dxa" w:w="70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Aracın kutu mülkiyetiyle eş süreli; ABS/CTL yapısına devirde ayakta kalır.</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Bölüm 10 — term sheet iskeletleri</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Kabul</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Değişiklikle</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Ertele</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Tarih / paraf: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11. Her doların bir adı var</w:t>
      </w:r>
    </w:p>
    <w:p>
      <w:pPr>
        <w:spacing w:after="140" w:line="300"/>
      </w:pPr>
      <w:r>
        <w:rPr>
          <w:rFonts w:ascii="Calibri" w:cs="Calibri" w:eastAsia="Calibri" w:hAnsi="Calibri"/>
          <w:sz w:val="22"/>
          <w:szCs w:val="22"/>
        </w:rPr>
        <w:t xml:space="preserve">Mülk sahibinin dolarının yetmiş yıldır tek adı oldu: kira. Vade duvarı, çapa çöküşü ve retail media patlaması aynı üç yıllık pencereye geldi ve aynı metrekareyi gösteriyor. Seyirci tepede zeminde, dipte zemini terk ediyor; ikisi de ölçülü. Reklam parası zemini arıyor. Alacaklı çözüm istiyor; servicer kutuyu defterinden çıkarmak istiyor; mağaza zinciri satmak istiyor. Zemini, alacaklıyı, sıra dükkân listesini, otoparkı ve belediyeyi tek masaya getirebilen tek taraf, zemini kim tutuyorsa odur — ve zemin sahibinin getiremediği tek şey kontrol düzlemidir.</w:t>
      </w:r>
    </w:p>
    <w:p>
      <w:pPr>
        <w:spacing w:after="140" w:line="300"/>
      </w:pPr>
      <w:r>
        <w:rPr>
          <w:rFonts w:ascii="Calibri" w:cs="Calibri" w:eastAsia="Calibri" w:hAnsi="Calibri"/>
          <w:b/>
          <w:bCs/>
          <w:sz w:val="22"/>
          <w:szCs w:val="22"/>
        </w:rPr>
        <w:t xml:space="preserve">Takas budur: kontrol düzlemi karşılığında zemin.</w:t>
      </w:r>
      <w:r>
        <w:rPr>
          <w:rFonts w:ascii="Calibri" w:cs="Calibri" w:eastAsia="Calibri" w:hAnsi="Calibri"/>
          <w:sz w:val="22"/>
          <w:szCs w:val="22"/>
        </w:rPr>
        <w:t xml:space="preserve"> Kapı 1’de katkıyla, Kapı 2’de zarar yazma fiyatından satın almayla, Kapı 3’te sponsorlukla. Otelde, esnek ofiste, havalimanlarında ve mülk sahibinin kendi specialty leasing bütçesinde emsali var; sahip olmadan denemiş her varlık-ağır operatörde olumsuz kanıtı var; ve kurulun güvendiği tek bir dış fiyatı var — basamak basamak kazanılan Industrious yapısı.</w:t>
      </w:r>
    </w:p>
    <w:p>
      <w:pPr>
        <w:spacing w:after="140" w:line="300"/>
      </w:pPr>
      <w:r>
        <w:rPr>
          <w:rFonts w:ascii="Calibri" w:cs="Calibri" w:eastAsia="Calibri" w:hAnsi="Calibri"/>
          <w:sz w:val="22"/>
          <w:szCs w:val="22"/>
        </w:rPr>
        <w:t xml:space="preserve">Bir kiosk hiçbir zaman sakızla ilgili değildi. Bir AVM hiçbir zaman kirayla ilgili değildi.</w:t>
      </w:r>
    </w:p>
    <w:p>
      <w:pPr>
        <w:spacing w:after="200"/>
      </w:pPr>
    </w:p>
    <w:p>
      <w:pPr>
        <w:jc w:val="center"/>
      </w:pPr>
      <w:r>
        <w:rPr>
          <w:rFonts w:ascii="Calibri" w:cs="Calibri" w:eastAsia="Calibri" w:hAnsi="Calibri"/>
          <w:i/>
          <w:iCs/>
          <w:color w:val="5A5A5A"/>
          <w:sz w:val="18"/>
          <w:szCs w:val="18"/>
        </w:rPr>
        <w:t xml:space="preserve">Value Masters Academy · Kurucular Kurulu El Kitabı, Cilt 1 · A Level Alliances için · Ağustos 2026 · Çalışma taslağı — her satır kurul onayına tabidir</w:t>
      </w:r>
    </w:p>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Ek A — Beş A Level Alliances belgesi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4200"/>
        <w:gridCol w:w="4660"/>
      </w:tblGrid>
      <w:tr>
        <w:trPr>
          <w:tblHeader/>
        </w:trPr>
        <w:tc>
          <w:tcPr>
            <w:tcW w:type="dxa" w:w="5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t>
            </w:r>
          </w:p>
        </w:tc>
        <w:tc>
          <w:tcPr>
            <w:tcW w:type="dxa" w:w="42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Belge</w:t>
            </w:r>
          </w:p>
        </w:tc>
        <w:tc>
          <w:tcPr>
            <w:tcW w:type="dxa" w:w="46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URL</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The Field Thesis — A Level Alliances (Temmuz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https://key-observation.fifthwallpe.com/</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B</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Third Place at Atmosphere — Sponsor Daveti</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https://thirdplace-at.atmospheremarketplace.com/</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 Special Situation — Not retail. Not real estate. (Ağustos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https://special-situation.alevelalliances.com/</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One Box — A Special Situation eki (Ağustos 2026)</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https://special-situation.alevelalliances.com/one-box</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E</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REIT 2.0: Transforming the American Retail Maturity Wall (iç not, Türkçe; yayımlanmamış)</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w:t>
            </w:r>
          </w:p>
        </w:tc>
      </w:tr>
    </w:tbl>
    <w:p>
      <w:pPr>
        <w:spacing w:after="120"/>
      </w:pPr>
    </w:p>
    <w:p>
      <w:pPr>
        <w:pStyle w:val="Heading1"/>
        <w:pBdr>
          <w:bottom w:val="single" w:color="B5651D" w:sz="6" w:space="4"/>
        </w:pBdr>
        <w:spacing w:after="180" w:before="360"/>
      </w:pPr>
      <w:r>
        <w:rPr>
          <w:rFonts w:ascii="Georgia" w:cs="Georgia" w:eastAsia="Georgia" w:hAnsi="Georgia"/>
          <w:b/>
          <w:bCs/>
          <w:color w:val="0F2A44"/>
          <w:sz w:val="34"/>
          <w:szCs w:val="34"/>
        </w:rPr>
        <w:t xml:space="preserve">Ek B — Açık kaynak sicili</w:t>
      </w:r>
    </w:p>
    <w:p>
      <w:pPr>
        <w:spacing w:after="120" w:line="260"/>
      </w:pPr>
      <w:r>
        <w:rPr>
          <w:rFonts w:ascii="Calibri" w:cs="Calibri" w:eastAsia="Calibri" w:hAnsi="Calibri"/>
          <w:i/>
          <w:iCs/>
          <w:color w:val="5A5A5A"/>
          <w:sz w:val="18"/>
          <w:szCs w:val="18"/>
        </w:rPr>
        <w:t xml:space="preserve">Metindeki köşeli parantezli numaralar bu sicile gönderir. Tüm web kaynakları 30 Ağustos 2026’da alınmıştır. İkincil bir kaynak birincil bir veri setini (Placer.ai, Green Street, Trepp, eMarketer) aktarıyorsa birincil kaynak başlıkta belirtilmiştir.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4200"/>
        <w:gridCol w:w="4660"/>
      </w:tblGrid>
      <w:tr>
        <w:trPr>
          <w:tblHeader/>
        </w:trPr>
        <w:tc>
          <w:tcPr>
            <w:tcW w:type="dxa" w:w="5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t>
            </w:r>
          </w:p>
        </w:tc>
        <w:tc>
          <w:tcPr>
            <w:tcW w:type="dxa" w:w="42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Kaynak</w:t>
            </w:r>
          </w:p>
        </w:tc>
        <w:tc>
          <w:tcPr>
            <w:tcW w:type="dxa" w:w="46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URL</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Mortgage Bankers Association — 2025 CRE Survey of Loan Maturity Volumes (Mar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https://www.mba.org/news-and-research/newsroom/blog-post/commercial-real-estate-loan-maturity-volumes</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S&amp;P Global Market Intelligence — CRE maturity wall $950B in 2024, peaks in 2027 at $1.26T</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https://www.spglobal.com/market-intelligence/en/news-insights/research/commercial-real-estate-maturity-wall-950b-in-2024-peaks-in-2027</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Sterling Asset Group — S&amp;P vs MBA vade serileri karşılaştırması (May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https://www.sterlingassetgroup.com/insights/the-great-refinancing-wall</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4</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Matthews — The 2026 Capital Reset (2025 vadelerinin %50–55’i ödendi); First American — Maturity Wall dönüm noktası</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https://www.matthews.com/insights/the-2026-capital-reset</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5</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Fident Capital — The 2026 Maturity Wall (Morningstar DBRS: 2026 menkulleştirilmiş vadelerin &gt;%50’si ödenmeyecek)</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https://fidentcapital.com/the-2026-maturity-wall-what-the-end-of-extend-and-pretend-means-for-borrowers/</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6</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CRE Daily / Trepp Spring 2026 Quarterly Data Review — $76,6B kesin vade; $27,3B ≤%8 debt yield; ofis gecikmesi rekor %12,34</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https://www.credaily.com/briefs/cmbs-maturity-wall-tests-refinancing-in-2026/</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7</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MBA Newslink / Trepp — CMBS gecikmesi Temmuz 2026 (perakende %6,96)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https://newslink.mba.org/mba-newslinks/2026/august/mba-newslink-thursday-august-6-2026/trepp-cmbs-delinquency-rate-up-51-basis-points-in-july/</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8</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MBA Newslink / Trepp — CMBS gecikmesi Haziran 2026 (perakende artışı bölgesel AVM ve outlet kaynaklı)</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https://newslink.mba.org/mba-newslinks/2026/july/trepp-cmbs-delinquency-rate-falls-in-june/</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9</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Commercial Real Estate Direct / Trepp — Eski CMBS AVM kredilerinde daha yüksek gecikme (2017 öncesi %96,3) (Tem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https://crenews.com/2026/07/30/older-cmbs-mall-loans-see-greater-delinquency/</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10</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Commercial Property Executive — CMBS: Who’s Winning, Who’s Losing (Class B AVM’ler kredi hatlarından çıktı) (Nis 2026)</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https://www.commercialsearch.com/news/cmbs-whos-winning-and-whos-losing/</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11</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CoStar — Why lenders are stepping up financing of some U.S. malls (NorthPark, International Plaza) (Eki 2025)</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https://www.costar.com/article/414149514/why-lenders-are-stepping-up-financing-of-some-us-malls</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12</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CREFC — Update on CMBS Loan Performance, Mayıs 2026 (Pecanland %80,9; on tasfiye %72,7)</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https://assets.informz.net/cmbs/data/images/CREFC%20Update%20on%20CMBS%20Loan%20Performance%20(May%202026).pdf</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13</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Commercial Real Estate Direct — Kohan Pecanland Mall’ı aldı, CMBS trust’a $54,45M zarar (May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https://crenews.com/2026/05/20/kohan-buys-pecanland-mall-in-louisiana-resulting-in-54-45mln-loss-to-cmbs-trust/</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14</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CNBC — Green Street: A AVM değerleri 2016’ya göre −%45 (Oca 2021)</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https://www.cnbc.com/2021/01/26/top-tier-mall-values-have-dropped-45percent-from-2016-levels-green-street.html</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15</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WealthManagement.com — Alt sınıf AVM’ler yok olma tehdidinde (Green Street B/C değerleri)</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https://www.wealthmanagement.com/real-estate/many-lower-tier-malls-face-extinction-experts-warn</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16</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Macerich 8-K eki (May 2026) — ~900 kapalı AVM, 235 Class A (Green Street)</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https://www.sec.gov/Archives/edgar/data/0000912242/000119312526249691/d922651dex991.htm</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17</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CRE Daily — Class B perakende merkezleri yeniden geliştirme (Green Street: B trafiği 2019’un ~%10 altında; doluluk %89; C %72 altı)</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https://www.credaily.com/briefs/class-b-retail-centers-face-reinvention-through-redevelopment/</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18</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RockStep — Department store closures create new opportunities for enclosed malls (Nis 2026)</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https://rockstep.com/blog/department-store-closures</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19</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Retail Dive / JLL — Kapanışlar açılışları geçti; AVM boşluğu %8,7; Macy’s ~12M sq ft (Şub 2025)</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https://www.retaildive.com/news/retail-store-closures-openings-shift-service-tenants/740615/</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20</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CoStar / Coresight — ABD mağaza kapanışları rekor yıla gidiyor (Tem 2025)</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https://www.costar.com/article/1870124869/rising-us-store-closings-reflect-retail-real-estate-churn-analysis-firm-says</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21</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Placer.ai — June 2025 Mall Index (kapalı AVM ziyaretleri 2019 2. çeyreğinin %1,1 altında)</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https://www.placer.ai/anchor/articles/placer-ai-june-2025-mall-index</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22</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PYMNTS — Placer.ai December 2025 Mall Index (dört çeyrekte de artış)</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https://www.pymnts.com/news/retail/2026/americas-malls-split-in-two-after-the-holidays/</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23</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Commercial Observer — Şubat 2026 AVM trafiği artışı (Placer.ai)</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https://commercialobserver.com/2026/03/us-mall-traffic-growth-february-placerai/</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24</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Capital One Shopping — AVM ayak trafiği istatistikleri (Placer.ai derlemesi; medyan kalış)</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https://capitaloneshopping.com/research/mall-foot-traffic-statistics/</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25</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CBL Properties — 2026 1. çeyrek sonuçları (8 May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https://www.businesswire.com/news/home/20260508718555/en/CBL-Properties-Reports-Results-for-First-Quarter-2026</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26</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CBL Properties — 2026 2. çeyrek sonuçları (6 Ağu 2026)</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https://www.morningstar.com/news/business-wire/20260806085649/cbl-properties-reports-strong-results-for-second-quarter-2026</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27</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Osmos / eMarketer — Mağaza içi retail media trendleri 2026 (mağaza içi +%33,1; $71–73B; Amazon+Walmart %88)</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https://www.osmos.ai/blog/future-of-retail-media-in-store-monetization-2026</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28</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Digital Applied / eMarketer — Retail media vs in-house ad spend 2026</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https://www.digitalapplied.com/blog/retail-media-vs-in-house-ad-spend-2026-decision-matrix</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29</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Fugo / eMarketer — Retail media istatistikleri (harcamanın %80’i mağazada; retail media’nın %90’ı online)</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https://www.fugo.ai/blog/retail-media-growth-statistics-trends/</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30</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ICSC — Boosting mall income (Kimco specialty leasing yorumu; münhasırlık ve ortak alan kısıtları)</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https://www.icsc.com/news-and-views/sct-magazine/boosting-mall-income</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31</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SEC — Crown American Realty Trust 8-K (2001): geçici/özel kiralama gelirlerin %5’i</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https://www.sec.gov/Archives/edgar/data/0000905134/000090513401500025/wallstreet.htm</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32</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Elevenflo — JCPenney Chapter 11 satışı Simon/Brookfield’a (yapı ve tutarlar)</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https://elevenflo.com/blog/jcpenney-chapter-11-sale-simon-brookfield</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33</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Bisnow — Simon’ın SPARC/JCPenney bahsi, ABG’de 9× (Eki 2023); Retail Dive — “Do malls have any business getting into retail?”</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https://www.bisnow.com/national/news/retail/is-simons-sparc-group-a-retail-super-liner-or-a-noahs-ark-120802</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34</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Coffee with Abhishek — Seritage: 20M sq ft için $2,7–3B yeniden geliştirme sermayesi (Ara 2020)</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https://coffeewithabhishek.wordpress.com/2020/12/18/seritage-growth-properties-low-risk-high-uncertainty/</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35</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ad-hoc-news — Seritage tasfiye durumu (Haz–Tem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https://www.ad-hoc-news.de/boerse/news/ueberblick/seritage-growth-properties-stock-us81752r1005-reit-focuses-on/69499810</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36</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Canary Media — Shell Volta’yı $169M’a aldı (Oca 2023)</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https://www.canarymedia.com/articles/ev-charging/shell-buys-ev-charger-operator-volta-for-pennies-on-the-dollar</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37</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AdExchanger — Shell Volta EV şarj ve medya bölümünü kapattı (Ağu 2025)</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https://www.adexchanger.com/commerce/shell-shutters-its-volta-ev-charging-and-media-division/</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38</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Morningstar DBRS — Starwood Retail Property Trust 2014-STAR (non-collateral çapalar)</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https://dbrs.morningstar.com/research/431640/morningstar-dbrs-confirms-credit-ratings-on-starwood-retail-property-trust-2014-star</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39</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CBRE Group — basın bülteni / 8-K: Industrious alımı, BOE segmentinin kurulması (14 Oca 2025)</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https://ir.cbre.com/press-releases/detail/245/cbre-group-to-acquire-industrious-create-new-business</w:t>
            </w:r>
          </w:p>
        </w:tc>
      </w:tr>
    </w:tbl>
    <w:p>
      <w:pPr>
        <w:spacing w:after="120"/>
      </w:pPr>
    </w:p>
    <w:p>
      <w:pPr>
        <w:pStyle w:val="Heading2"/>
        <w:spacing w:after="120" w:before="260"/>
      </w:pPr>
      <w:r>
        <w:rPr>
          <w:rFonts w:ascii="Georgia" w:cs="Georgia" w:eastAsia="Georgia" w:hAnsi="Georgia"/>
          <w:b/>
          <w:bCs/>
          <w:color w:val="0F2A44"/>
          <w:sz w:val="26"/>
          <w:szCs w:val="26"/>
        </w:rPr>
        <w:t xml:space="preserve">Ek C — Kurul tanımı bekleyen sözlük maddeleri</w:t>
      </w:r>
    </w:p>
    <w:p>
      <w:pPr>
        <w:pStyle w:val="ListParagraph"/>
        <w:numPr>
          <w:ilvl w:val="0"/>
          <w:numId w:val="3"/>
        </w:numPr>
        <w:spacing w:after="90" w:line="290"/>
      </w:pPr>
      <w:r>
        <w:rPr>
          <w:rFonts w:ascii="Calibri" w:cs="Calibri" w:eastAsia="Calibri" w:hAnsi="Calibri"/>
          <w:b/>
          <w:bCs/>
          <w:sz w:val="22"/>
          <w:szCs w:val="22"/>
        </w:rPr>
        <w:t xml:space="preserve">RevPAM</w:t>
      </w:r>
      <w:r>
        <w:rPr>
          <w:rFonts w:ascii="Calibri" w:cs="Calibri" w:eastAsia="Calibri" w:hAnsi="Calibri"/>
          <w:sz w:val="22"/>
          <w:szCs w:val="22"/>
        </w:rPr>
        <w:t xml:space="preserve"> — kullanılabilir metre (B) / kullanılabilir üye (D) başına gelir. Madde 9.1.</w:t>
      </w:r>
    </w:p>
    <w:p>
      <w:pPr>
        <w:pStyle w:val="ListParagraph"/>
        <w:numPr>
          <w:ilvl w:val="0"/>
          <w:numId w:val="3"/>
        </w:numPr>
        <w:spacing w:after="90" w:line="290"/>
      </w:pPr>
      <w:r>
        <w:rPr>
          <w:rFonts w:ascii="Calibri" w:cs="Calibri" w:eastAsia="Calibri" w:hAnsi="Calibri"/>
          <w:b/>
          <w:bCs/>
          <w:sz w:val="22"/>
          <w:szCs w:val="22"/>
        </w:rPr>
        <w:t xml:space="preserve">PEIT™</w:t>
      </w:r>
      <w:r>
        <w:rPr>
          <w:rFonts w:ascii="Calibri" w:cs="Calibri" w:eastAsia="Calibri" w:hAnsi="Calibri"/>
          <w:sz w:val="22"/>
          <w:szCs w:val="22"/>
        </w:rPr>
        <w:t xml:space="preserve"> — Phygital Estate Investment Trust: GYO-artı-operatör sarmalı (A, B, E). PropCo/OpCo/MemberCo (D) ile ilişkisi: madde 9.4.</w:t>
      </w:r>
    </w:p>
    <w:p>
      <w:pPr>
        <w:pStyle w:val="ListParagraph"/>
        <w:numPr>
          <w:ilvl w:val="0"/>
          <w:numId w:val="3"/>
        </w:numPr>
        <w:spacing w:after="90" w:line="290"/>
      </w:pPr>
      <w:r>
        <w:rPr>
          <w:rFonts w:ascii="Calibri" w:cs="Calibri" w:eastAsia="Calibri" w:hAnsi="Calibri"/>
          <w:b/>
          <w:bCs/>
          <w:sz w:val="22"/>
          <w:szCs w:val="22"/>
        </w:rPr>
        <w:t xml:space="preserve">Phygital-Ready</w:t>
      </w:r>
      <w:r>
        <w:rPr>
          <w:rFonts w:ascii="Calibri" w:cs="Calibri" w:eastAsia="Calibri" w:hAnsi="Calibri"/>
          <w:sz w:val="22"/>
          <w:szCs w:val="22"/>
        </w:rPr>
        <w:t xml:space="preserve"> — boş kabuk teslim spesifikasyonu (E). Spek sayfası Kapı 1 term sheet 5. satırına eklenecek.</w:t>
      </w:r>
    </w:p>
    <w:p>
      <w:pPr>
        <w:pStyle w:val="ListParagraph"/>
        <w:numPr>
          <w:ilvl w:val="0"/>
          <w:numId w:val="3"/>
        </w:numPr>
        <w:spacing w:after="90" w:line="290"/>
      </w:pPr>
      <w:r>
        <w:rPr>
          <w:rFonts w:ascii="Calibri" w:cs="Calibri" w:eastAsia="Calibri" w:hAnsi="Calibri"/>
          <w:b/>
          <w:bCs/>
          <w:sz w:val="22"/>
          <w:szCs w:val="22"/>
        </w:rPr>
        <w:t xml:space="preserve">Kova 1 / 2 / 3</w:t>
      </w:r>
      <w:r>
        <w:rPr>
          <w:rFonts w:ascii="Calibri" w:cs="Calibri" w:eastAsia="Calibri" w:hAnsi="Calibri"/>
          <w:sz w:val="22"/>
          <w:szCs w:val="22"/>
        </w:rPr>
        <w:t xml:space="preserve"> — rehinli / rezerv / artı-değer gelir hatları (D).</w:t>
      </w:r>
    </w:p>
    <w:p>
      <w:pPr>
        <w:pStyle w:val="ListParagraph"/>
        <w:numPr>
          <w:ilvl w:val="0"/>
          <w:numId w:val="3"/>
        </w:numPr>
        <w:spacing w:after="90" w:line="290"/>
      </w:pPr>
      <w:r>
        <w:rPr>
          <w:rFonts w:ascii="Calibri" w:cs="Calibri" w:eastAsia="Calibri" w:hAnsi="Calibri"/>
          <w:b/>
          <w:bCs/>
          <w:sz w:val="22"/>
          <w:szCs w:val="22"/>
        </w:rPr>
        <w:t xml:space="preserve">LBS</w:t>
      </w:r>
      <w:r>
        <w:rPr>
          <w:rFonts w:ascii="Calibri" w:cs="Calibri" w:eastAsia="Calibri" w:hAnsi="Calibri"/>
          <w:sz w:val="22"/>
          <w:szCs w:val="22"/>
        </w:rPr>
        <w:t xml:space="preserve"> — One Box denkleminin kira destekli yarısı (D). Açılımı kurucu tarafından teyit edilecek.</w:t>
      </w:r>
    </w:p>
    <w:p>
      <w:pPr>
        <w:spacing w:after="120"/>
      </w:pPr>
    </w:p>
    <w:p>
      <w:pPr>
        <w:pStyle w:val="Heading1"/>
        <w:pBdr>
          <w:bottom w:val="single" w:color="B5651D" w:sz="6" w:space="4"/>
        </w:pBdr>
        <w:spacing w:after="180" w:before="360"/>
      </w:pPr>
      <w:r>
        <w:rPr>
          <w:rFonts w:ascii="Georgia" w:cs="Georgia" w:eastAsia="Georgia" w:hAnsi="Georgia"/>
          <w:b/>
          <w:bCs/>
          <w:color w:val="0F2A44"/>
          <w:sz w:val="34"/>
          <w:szCs w:val="34"/>
        </w:rPr>
        <w:t xml:space="preserve">Ek D — Terim sözlüğü (İngilizce → Türkçe)</w:t>
      </w:r>
    </w:p>
    <w:p>
      <w:pPr>
        <w:spacing w:after="120" w:line="260"/>
      </w:pPr>
      <w:r>
        <w:rPr>
          <w:rFonts w:ascii="Calibri" w:cs="Calibri" w:eastAsia="Calibri" w:hAnsi="Calibri"/>
          <w:i/>
          <w:iCs/>
          <w:color w:val="5A5A5A"/>
          <w:sz w:val="18"/>
          <w:szCs w:val="18"/>
        </w:rPr>
        <w:t xml:space="preserve">Metinde ilk geçtiği yerde dipnotla verilen terimlerin tam listesi. Sıralama alfabetiktir.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Terim</w:t>
            </w:r>
          </w:p>
        </w:tc>
        <w:tc>
          <w:tcPr>
            <w:tcW w:type="dxa" w:w="69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Türkçe karşılığı / açıklama</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accretive</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Kâra/hisse başına kazanca ilk günden katkı sağlayan (satın alma için).</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anchor box</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Çapa mağaza kutusu — AVM’ye trafik çeken büyük mağazanın (Sears, Macy’s vb.) boşalttığı 40.000–200.000 sq ft’lik alan.</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ARR</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Annual Recurring Revenue — yıllık tekrarlayan gelir.</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asset-light</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Varlık-hafif — sabit varlığa sahip olmadan işletme/yönetim sözleşmesiyle çalışan model.</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backfill</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Boşalan alanı yeni kiracıyla doldurma.</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Bear / Base / Bull</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Kötümser / baz / iyimser senaryo.</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BOE</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Building Operations &amp; Experience — CBRE’nin Industrious alımıyla kurduğu bina işletme ve deneyim segmenti.</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bucket</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Kova — One Box belgesinde gelir hatlarının kredi kalitesine göre üç sınıfa ayrılması (rehinli / rezerv / artı-değer).</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cap rate</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Capitalization rate — kapitalizasyon oranı: NOI / mülk değeri. Oran yükseldikçe değer düşer.</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CapEx</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Capital Expenditure — sermaye harcaması (bina, donanım). OpEx: işletme gideri.</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Capital Partner</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Finansal ortak — iç donatım ve işletme sermayesini nakit fonlayan taraf.</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Chapter 11</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ABD İflas Kanunu 11. Bölüm — yeniden yapılandırma amaçlı iflas koruması.</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Class A/B/C</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AVM sınıfları (Green Street): A ≈ 750–1.100 $/sq ft satış, B ≈ 425 $, C ≈ 250 $.</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CMBS</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Commercial Mortgage-Backed Securities — ticari ipotek kredilerinin havuzlanıp menkul kıymetleştirilmiş hali.</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co-tenancy</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Ortak kiracılık maddesi — çapa mağaza boşalırsa sıra dükkânlara kira indirimi veya çıkış hakkı veren kira şartı.</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common area</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Ortak alan — koridorlar, meydanlar, yemek alanı.</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concentration limit</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Yoğunlaşma limiti — tek bir marka/sponsor/reklamverenin havuz gelirindeki azami payı.</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control plane</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Kontrol düzlemi (altyapı jargonu) — sistemi yöneten yazılım katmanı; bare metal: çıplak donanım/fiziksel katman; stack: katman yığını.</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convertible note</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Dönüştürülebilir tahvil — hisseye çevrilebilen borç.</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CRE</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Commercial Real Estate — ticari gayrimenkul (ofis, perakende, otel, lojistik, konut portföyleri).</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credit bid</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Alacakla teklif — alacaklının kendi alacağını satın alma bedeli olarak kullanması.</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credit tenant</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Kredi notu yüksek, kurumsal kiracı.</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debt yield</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Borç getirisi — NOI / kredi bakiyesi; %8 altı, refinansmanın zorlaştığı eşik.</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delinquency</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Gecikme/temerrüt oranı — ödemesi 30+ gün gecikmiş kredilerin toplam içindeki payı.</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distributable cash</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Dağıtılabilir nakit — giderler, rezervler ve öncelikli ödemelerden sonra ortaklara kalan nakit.</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DOOH</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Digital Out-of-Home — dijital açık hava reklamı.</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DPO</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Discounted Payoff — kredinin bakiyesinin altında bir bedelle kapatılması.</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DSCR</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Debt Service Coverage Ratio — borç servisi karşılama oranı: NOI / yıllık borç ödemesi.</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DTC</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Direct-to-Consumer — doğrudan tüketiciye satan (genelde online doğmuş) marka.</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dwell time</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Kalış süresi — ziyaretçinin mekânda geçirdiği süre.</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enterprise value</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Şirket değeri — hisse değeri + net borç.</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estoppel</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Teyit beyanı — bir tarafın sözleşme durumunu üçüncü tarafa (örn. finansör) yazılı teyit etmesi.</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extend and pretend</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“Uzat ve görmezden gel” — alacaklının zarar yazmamak için vadeyi uzatması.</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fee-defense</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Ücret savunması — hizmet şirketinin yönettiği binalardan aldığı ücret gelirini korumak için yaptığı yatırım (VMA terimi).</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first-loss reserve</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İlk zarar rezervi — havuzdaki ilk kayıpları karşılayan tampon.</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fit-out</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İç donatım — bölme, mobilya, ekran, aydınlatma kurulumu.</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flex workspace</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Esnek ofis — kısa vadeli, servisli ofis/masa kiralama (Industrious, WeWork).</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floor guarantee</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Taban gelir garantisi — operatörün mülk sahibine belirli bir asgari geliri taahhüt etmesi.</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foot traffic</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Ayak trafiği — ziyaretçi sayısı.</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founding equity</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Kurucu hisse — şirketin kuruluşunda verilen ortaklık payı.</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halo</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Hale etkisi — canlı bir çapanın komşu dükkânların kirasını/ yenilemelerini yukarı çekmesi.</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in-kind contribution</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Ayni sermaye — nakit yerine kullanım hakkı/mülk koyarak ortaklığa girme.</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inline tenant</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Sıra dükkân kiracısı — çapa dışındaki küçük/orta mağazalar.</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kill switch</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Acil durdurma yetkisi — sponsorun tek sözle kurucuyu görevden alma hakkı.</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landlord</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Mülk sahibi / kiraya veren.</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LOI</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Letter of Intent — niyet mektubu.</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loss severity</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Kayıp şiddeti — tasfiye edilen bir kredide anaparanın zarar yazılan yüzdesi.</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Maturity Wall</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Vade duvarı — çok sayıda ticari gayrimenkul kredisinin vadesinin aynı dönemde dolması ve refinansman zorunluluğu.</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net-lease ABS</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Net kira varlığa dayalı menkul kıymet — uzun vadeli, kredi notlu kira sözleşmelerinden oluşan havuzun menkul kıymetleştirilmesi. CTL: credit-tenant lease — kredi notlu kiracı kirasına dayalı finansman.</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NOI</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Net Operating Income — net işletme geliri (kira ve diğer gelirler eksi işletme giderleri, borç servisi hariç).</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non-collateral anchor</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Teminat dışı çapa — mülkiyeti AVM sahibinde değil, mağaza zincirinde olan çapa parseli; AVM kredisinin teminatına dahil değildir.</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note sale</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Kredi alacağının (senedin) üçüncü tarafa satışı.</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NPL</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Non-Performing Loan — takipteki (sorunlu) kredi.</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occupancy</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Doluluk — kiralanmış alanın toplam kiralanabilir alana oranı.</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PEIT</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Phygital Estate Investment Trust — ALA’nın terimi: fiziksel + dijital varlıkları tek çatıda tutan GYO-artı-operatör yapısı.</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Phygital-Ready</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ALA terimi: güç, iklimlendirme, yangın güvenliği ve veri altyapısı hazır “fijital-hazır” boş kabuk.</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PropCo / OpCo / MemberCo</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Mülk şirketi / işletme şirketi / üyelik şirketi — varlığı, operasyonu ve üyelik gelirini ayıran üçlü yapı.</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REA</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Reciprocal Easement Agreement — karşılıklı irtifak sözleşmesi; AVM parselleri arasında kullanım, otopark, geçiş ve tabela haklarını düzenler.</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REIT</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Real Estate Investment Trust — Gayrimenkul Yatırım Ortaklığı (GYO); kârının çoğunu dağıtan, vergi avantajlı mülk sahibi şirket.</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REIT income tests</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GYO gelir testleri — brüt gelirin ≥%75’i gayrimenkul kirası vb., ≥%95’i pasif gelir olmalı; aksi hâlde GYO statüsü kaybedilir.</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REIT Modernization Act</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1999 tarihli ABD yasası — GYO’ların TRS üzerinden otel işletmesi gibi faaliyet gelirleri elde etmesine izin verdi.</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REO</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Real Estate Owned — icra/teslim sonrası alacaklının elinde kalan mülk.</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retail media</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Perakende medyası — perakendecinin kendi kanallarını (site, uygulama, mağaza içi ekran) reklam mecrası olarak satması.</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RevPAR</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Revenue per Available Room — kullanılabilir oda başına gelir (otel KPI’ı). RevPAM: metre (B belgesi) veya üye (D belgesi) başına gelir.</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same-center NOI</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Aynı merkez NOI’si — alım-satım etkisi arındırılmış, karşılaştırılabilir portföy geliri.</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SNDA</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Subordination, Non-Disturbance and Attornment — kiracı/kullanıcının haklarını alacaklıya karşı koruyan üçlü anlaşma.</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SPAC</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Special Purpose Acquisition Company — birleşme yoluyla halka arz aracı.</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special servicer</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Sorunlu kredi yöneticisi — CMBS havuzunda temerrüde düşen krediyi devralıp tasfiye/yeniden yapılandırma yapan kurum.</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specialty leasing</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Geçici/özel kiralama — AVM ortak alanlarındaki araba (RMU), kiosk ve pop-up kiralamaları.</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sponsor</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Special Situation belgesindeki anlamıyla: kurucunun ABD girişimine hamilik eden, itibarı ve konsent listesiyle koruma altına alınan ABD’li ortak.</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standby letter of credit</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Teminat akreditifi — kiracı ödemezse bankanın ödediği gayrikabili rücu taahhüt (ISP98/UCP600).</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tag / drag</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Birlikte satma hakkı / sürükleme hakkı. ROFR (right of first refusal): ön alım hakkı.</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term sheet</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Şartname / ön anlaşma metni — bağlayıcı olmayan temel ticari koşullar listesi.</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third place</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Üçüncü mekân — ev ve iş dışındaki toplumsal mekân (Ray Oldenburg, 1989).</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throughput</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İş hacmi — birim zamanda geçen ziyaretçi/işlem.</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trophy asset</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Prestij/simge varlık — en üst kalite, en likit mülk.</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TRS</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Taxable REIT Subsidiary — GYO’nun vergiye tabi iştiraki; GYO’nun doğrudan elde edemeyeceği işletme gelirlerini taşır.</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underwriting</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Kredi/risk değerlendirme ve fiyatlama süreci.</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vanilla shell</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Kaba/boş kabuk teslim — bölmesiz, tesisatı hazır ama iç donatımsız alan.</w:t>
            </w:r>
          </w:p>
        </w:tc>
      </w:tr>
      <w:tr>
        <w:trPr>
          <w:cantSplit/>
        </w:trPr>
        <w:tc>
          <w:tcPr>
            <w:tcW w:type="dxa" w:w="2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write-off</w:t>
            </w:r>
          </w:p>
        </w:tc>
        <w:tc>
          <w:tcPr>
            <w:tcW w:type="dxa" w:w="6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Zarar yazma — alacağın defterden silinmesi.</w:t>
            </w:r>
          </w:p>
        </w:tc>
      </w:tr>
      <w:tr>
        <w:trPr>
          <w:cantSplit/>
        </w:trPr>
        <w:tc>
          <w:tcPr>
            <w:tcW w:type="dxa" w:w="2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yield management</w:t>
            </w:r>
          </w:p>
        </w:tc>
        <w:tc>
          <w:tcPr>
            <w:tcW w:type="dxa" w:w="6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Getiri yönetimi — talebe göre anlık/dinamik fiyatlama (otel, havayolu modeli).</w:t>
            </w:r>
          </w:p>
        </w:tc>
      </w:tr>
    </w:tbl>
    <w:sectPr>
      <w:headerReference w:type="default" r:id="rId7"/>
      <w:footerReference w:type="default" r:id="rId8"/>
      <w:pgSz w:w="12240" w:h="15840"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5A5A"/>
        <w:sz w:val="16"/>
        <w:szCs w:val="16"/>
      </w:rPr>
      <w:t xml:space="preserve">Her satır kurul onayına tabidir · Menkul kıymet arzı değildir · Sayfa </w:t>
    </w:r>
    <w:r>
      <w:rPr>
        <w:rFonts w:ascii="Calibri" w:cs="Calibri" w:eastAsia="Calibri" w:hAnsi="Calibri"/>
        <w:color w:val="5A5A5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rFonts w:ascii="Calibri" w:cs="Calibri" w:eastAsia="Calibri" w:hAnsi="Calibri"/>
          <w:b/>
          <w:bCs/>
          <w:sz w:val="17"/>
          <w:szCs w:val="17"/>
        </w:rPr>
        <w:t xml:space="preserve">landlord: </w:t>
      </w:r>
      <w:r>
        <w:rPr>
          <w:rFonts w:ascii="Calibri" w:cs="Calibri" w:eastAsia="Calibri" w:hAnsi="Calibri"/>
          <w:sz w:val="17"/>
          <w:szCs w:val="17"/>
        </w:rPr>
        <w:t xml:space="preserve">Mülk sahibi / kiraya veren.</w:t>
      </w:r>
    </w:p>
  </w:footnote>
  <w:footnote w:id="2">
    <w:p>
      <w:r>
        <w:rPr>
          <w:rStyle w:val="FootnoteReference"/>
        </w:rPr>
        <w:footnoteRef/>
      </w:r>
      <w:r>
        <w:rPr>
          <w:rFonts w:ascii="Calibri" w:cs="Calibri" w:eastAsia="Calibri" w:hAnsi="Calibri"/>
          <w:b/>
          <w:bCs/>
          <w:sz w:val="17"/>
          <w:szCs w:val="17"/>
        </w:rPr>
        <w:t xml:space="preserve">special servicer: </w:t>
      </w:r>
      <w:r>
        <w:rPr>
          <w:rFonts w:ascii="Calibri" w:cs="Calibri" w:eastAsia="Calibri" w:hAnsi="Calibri"/>
          <w:sz w:val="17"/>
          <w:szCs w:val="17"/>
        </w:rPr>
        <w:t xml:space="preserve">Sorunlu kredi yöneticisi — CMBS havuzunda temerrüde düşen krediyi devralıp tasfiye/yeniden yapılandırma yapan kurum.</w:t>
      </w:r>
    </w:p>
  </w:footnote>
  <w:footnote w:id="3">
    <w:p>
      <w:r>
        <w:rPr>
          <w:rStyle w:val="FootnoteReference"/>
        </w:rPr>
        <w:footnoteRef/>
      </w:r>
      <w:r>
        <w:rPr>
          <w:rFonts w:ascii="Calibri" w:cs="Calibri" w:eastAsia="Calibri" w:hAnsi="Calibri"/>
          <w:b/>
          <w:bCs/>
          <w:sz w:val="17"/>
          <w:szCs w:val="17"/>
        </w:rPr>
        <w:t xml:space="preserve">term sheet: </w:t>
      </w:r>
      <w:r>
        <w:rPr>
          <w:rFonts w:ascii="Calibri" w:cs="Calibri" w:eastAsia="Calibri" w:hAnsi="Calibri"/>
          <w:sz w:val="17"/>
          <w:szCs w:val="17"/>
        </w:rPr>
        <w:t xml:space="preserve">Şartname / ön anlaşma metni — bağlayıcı olmayan temel ticari koşullar listesi.</w:t>
      </w:r>
    </w:p>
  </w:footnote>
  <w:footnote w:id="4">
    <w:p>
      <w:r>
        <w:rPr>
          <w:rStyle w:val="FootnoteReference"/>
        </w:rPr>
        <w:footnoteRef/>
      </w:r>
      <w:r>
        <w:rPr>
          <w:rFonts w:ascii="Calibri" w:cs="Calibri" w:eastAsia="Calibri" w:hAnsi="Calibri"/>
          <w:b/>
          <w:bCs/>
          <w:sz w:val="17"/>
          <w:szCs w:val="17"/>
        </w:rPr>
        <w:t xml:space="preserve">control plane: </w:t>
      </w:r>
      <w:r>
        <w:rPr>
          <w:rFonts w:ascii="Calibri" w:cs="Calibri" w:eastAsia="Calibri" w:hAnsi="Calibri"/>
          <w:sz w:val="17"/>
          <w:szCs w:val="17"/>
        </w:rPr>
        <w:t xml:space="preserve">Kontrol düzlemi (altyapı jargonu) — sistemi yöneten yazılım katmanı; bare metal: çıplak donanım/fiziksel katman; stack: katman yığını.</w:t>
      </w:r>
    </w:p>
  </w:footnote>
  <w:footnote w:id="5">
    <w:p>
      <w:r>
        <w:rPr>
          <w:rStyle w:val="FootnoteReference"/>
        </w:rPr>
        <w:footnoteRef/>
      </w:r>
      <w:r>
        <w:rPr>
          <w:rFonts w:ascii="Calibri" w:cs="Calibri" w:eastAsia="Calibri" w:hAnsi="Calibri"/>
          <w:b/>
          <w:bCs/>
          <w:sz w:val="17"/>
          <w:szCs w:val="17"/>
        </w:rPr>
        <w:t xml:space="preserve">CRE: </w:t>
      </w:r>
      <w:r>
        <w:rPr>
          <w:rFonts w:ascii="Calibri" w:cs="Calibri" w:eastAsia="Calibri" w:hAnsi="Calibri"/>
          <w:sz w:val="17"/>
          <w:szCs w:val="17"/>
        </w:rPr>
        <w:t xml:space="preserve">Commercial Real Estate — ticari gayrimenkul (ofis, perakende, otel, lojistik, konut portföyleri).</w:t>
      </w:r>
    </w:p>
  </w:footnote>
  <w:footnote w:id="6">
    <w:p>
      <w:r>
        <w:rPr>
          <w:rStyle w:val="FootnoteReference"/>
        </w:rPr>
        <w:footnoteRef/>
      </w:r>
      <w:r>
        <w:rPr>
          <w:rFonts w:ascii="Calibri" w:cs="Calibri" w:eastAsia="Calibri" w:hAnsi="Calibri"/>
          <w:b/>
          <w:bCs/>
          <w:sz w:val="17"/>
          <w:szCs w:val="17"/>
        </w:rPr>
        <w:t xml:space="preserve">Maturity Wall: </w:t>
      </w:r>
      <w:r>
        <w:rPr>
          <w:rFonts w:ascii="Calibri" w:cs="Calibri" w:eastAsia="Calibri" w:hAnsi="Calibri"/>
          <w:sz w:val="17"/>
          <w:szCs w:val="17"/>
        </w:rPr>
        <w:t xml:space="preserve">Vade duvarı — çok sayıda ticari gayrimenkul kredisinin vadesinin aynı dönemde dolması ve refinansman zorunluluğu.</w:t>
      </w:r>
    </w:p>
  </w:footnote>
  <w:footnote w:id="7">
    <w:p>
      <w:r>
        <w:rPr>
          <w:rStyle w:val="FootnoteReference"/>
        </w:rPr>
        <w:footnoteRef/>
      </w:r>
      <w:r>
        <w:rPr>
          <w:rFonts w:ascii="Calibri" w:cs="Calibri" w:eastAsia="Calibri" w:hAnsi="Calibri"/>
          <w:b/>
          <w:bCs/>
          <w:sz w:val="17"/>
          <w:szCs w:val="17"/>
        </w:rPr>
        <w:t xml:space="preserve">anchor box: </w:t>
      </w:r>
      <w:r>
        <w:rPr>
          <w:rFonts w:ascii="Calibri" w:cs="Calibri" w:eastAsia="Calibri" w:hAnsi="Calibri"/>
          <w:sz w:val="17"/>
          <w:szCs w:val="17"/>
        </w:rPr>
        <w:t xml:space="preserve">Çapa mağaza kutusu — AVM’ye trafik çeken büyük mağazanın (Sears, Macy’s vb.) boşalttığı 40.000–200.000 sq ft’lik alan.</w:t>
      </w:r>
    </w:p>
  </w:footnote>
  <w:footnote w:id="8">
    <w:p>
      <w:r>
        <w:rPr>
          <w:rStyle w:val="FootnoteReference"/>
        </w:rPr>
        <w:footnoteRef/>
      </w:r>
      <w:r>
        <w:rPr>
          <w:rFonts w:ascii="Calibri" w:cs="Calibri" w:eastAsia="Calibri" w:hAnsi="Calibri"/>
          <w:b/>
          <w:bCs/>
          <w:sz w:val="17"/>
          <w:szCs w:val="17"/>
        </w:rPr>
        <w:t xml:space="preserve">loss severity: </w:t>
      </w:r>
      <w:r>
        <w:rPr>
          <w:rFonts w:ascii="Calibri" w:cs="Calibri" w:eastAsia="Calibri" w:hAnsi="Calibri"/>
          <w:sz w:val="17"/>
          <w:szCs w:val="17"/>
        </w:rPr>
        <w:t xml:space="preserve">Kayıp şiddeti — tasfiye edilen bir kredide anaparanın zarar yazılan yüzdesi.</w:t>
      </w:r>
    </w:p>
  </w:footnote>
  <w:footnote w:id="9">
    <w:p>
      <w:r>
        <w:rPr>
          <w:rStyle w:val="FootnoteReference"/>
        </w:rPr>
        <w:footnoteRef/>
      </w:r>
      <w:r>
        <w:rPr>
          <w:rFonts w:ascii="Calibri" w:cs="Calibri" w:eastAsia="Calibri" w:hAnsi="Calibri"/>
          <w:b/>
          <w:bCs/>
          <w:sz w:val="17"/>
          <w:szCs w:val="17"/>
        </w:rPr>
        <w:t xml:space="preserve">foot traffic: </w:t>
      </w:r>
      <w:r>
        <w:rPr>
          <w:rFonts w:ascii="Calibri" w:cs="Calibri" w:eastAsia="Calibri" w:hAnsi="Calibri"/>
          <w:sz w:val="17"/>
          <w:szCs w:val="17"/>
        </w:rPr>
        <w:t xml:space="preserve">Ayak trafiği — ziyaretçi sayısı.</w:t>
      </w:r>
    </w:p>
  </w:footnote>
  <w:footnote w:id="10">
    <w:p>
      <w:r>
        <w:rPr>
          <w:rStyle w:val="FootnoteReference"/>
        </w:rPr>
        <w:footnoteRef/>
      </w:r>
      <w:r>
        <w:rPr>
          <w:rFonts w:ascii="Calibri" w:cs="Calibri" w:eastAsia="Calibri" w:hAnsi="Calibri"/>
          <w:b/>
          <w:bCs/>
          <w:sz w:val="17"/>
          <w:szCs w:val="17"/>
        </w:rPr>
        <w:t xml:space="preserve">dwell time: </w:t>
      </w:r>
      <w:r>
        <w:rPr>
          <w:rFonts w:ascii="Calibri" w:cs="Calibri" w:eastAsia="Calibri" w:hAnsi="Calibri"/>
          <w:sz w:val="17"/>
          <w:szCs w:val="17"/>
        </w:rPr>
        <w:t xml:space="preserve">Kalış süresi — ziyaretçinin mekânda geçirdiği süre.</w:t>
      </w:r>
    </w:p>
  </w:footnote>
  <w:footnote w:id="11">
    <w:p>
      <w:r>
        <w:rPr>
          <w:rStyle w:val="FootnoteReference"/>
        </w:rPr>
        <w:footnoteRef/>
      </w:r>
      <w:r>
        <w:rPr>
          <w:rFonts w:ascii="Calibri" w:cs="Calibri" w:eastAsia="Calibri" w:hAnsi="Calibri"/>
          <w:b/>
          <w:bCs/>
          <w:sz w:val="17"/>
          <w:szCs w:val="17"/>
        </w:rPr>
        <w:t xml:space="preserve">retail media: </w:t>
      </w:r>
      <w:r>
        <w:rPr>
          <w:rFonts w:ascii="Calibri" w:cs="Calibri" w:eastAsia="Calibri" w:hAnsi="Calibri"/>
          <w:sz w:val="17"/>
          <w:szCs w:val="17"/>
        </w:rPr>
        <w:t xml:space="preserve">Perakende medyası — perakendecinin kendi kanallarını (site, uygulama, mağaza içi ekran) reklam mecrası olarak satması.</w:t>
      </w:r>
    </w:p>
  </w:footnote>
  <w:footnote w:id="12">
    <w:p>
      <w:r>
        <w:rPr>
          <w:rStyle w:val="FootnoteReference"/>
        </w:rPr>
        <w:footnoteRef/>
      </w:r>
      <w:r>
        <w:rPr>
          <w:rFonts w:ascii="Calibri" w:cs="Calibri" w:eastAsia="Calibri" w:hAnsi="Calibri"/>
          <w:b/>
          <w:bCs/>
          <w:sz w:val="17"/>
          <w:szCs w:val="17"/>
        </w:rPr>
        <w:t xml:space="preserve">specialty leasing: </w:t>
      </w:r>
      <w:r>
        <w:rPr>
          <w:rFonts w:ascii="Calibri" w:cs="Calibri" w:eastAsia="Calibri" w:hAnsi="Calibri"/>
          <w:sz w:val="17"/>
          <w:szCs w:val="17"/>
        </w:rPr>
        <w:t xml:space="preserve">Geçici/özel kiralama — AVM ortak alanlarındaki araba (RMU), kiosk ve pop-up kiralamaları.</w:t>
      </w:r>
    </w:p>
  </w:footnote>
  <w:footnote w:id="13">
    <w:p>
      <w:r>
        <w:rPr>
          <w:rStyle w:val="FootnoteReference"/>
        </w:rPr>
        <w:footnoteRef/>
      </w:r>
      <w:r>
        <w:rPr>
          <w:rFonts w:ascii="Calibri" w:cs="Calibri" w:eastAsia="Calibri" w:hAnsi="Calibri"/>
          <w:b/>
          <w:bCs/>
          <w:sz w:val="17"/>
          <w:szCs w:val="17"/>
        </w:rPr>
        <w:t xml:space="preserve">credit tenant: </w:t>
      </w:r>
      <w:r>
        <w:rPr>
          <w:rFonts w:ascii="Calibri" w:cs="Calibri" w:eastAsia="Calibri" w:hAnsi="Calibri"/>
          <w:sz w:val="17"/>
          <w:szCs w:val="17"/>
        </w:rPr>
        <w:t xml:space="preserve">Kredi notu yüksek, kurumsal kiracı.</w:t>
      </w:r>
    </w:p>
  </w:footnote>
  <w:footnote w:id="14">
    <w:p>
      <w:r>
        <w:rPr>
          <w:rStyle w:val="FootnoteReference"/>
        </w:rPr>
        <w:footnoteRef/>
      </w:r>
      <w:r>
        <w:rPr>
          <w:rFonts w:ascii="Calibri" w:cs="Calibri" w:eastAsia="Calibri" w:hAnsi="Calibri"/>
          <w:b/>
          <w:bCs/>
          <w:sz w:val="17"/>
          <w:szCs w:val="17"/>
        </w:rPr>
        <w:t xml:space="preserve">underwriting: </w:t>
      </w:r>
      <w:r>
        <w:rPr>
          <w:rFonts w:ascii="Calibri" w:cs="Calibri" w:eastAsia="Calibri" w:hAnsi="Calibri"/>
          <w:sz w:val="17"/>
          <w:szCs w:val="17"/>
        </w:rPr>
        <w:t xml:space="preserve">Kredi/risk değerlendirme ve fiyatlama süreci.</w:t>
      </w:r>
    </w:p>
  </w:footnote>
  <w:footnote w:id="15">
    <w:p>
      <w:r>
        <w:rPr>
          <w:rStyle w:val="FootnoteReference"/>
        </w:rPr>
        <w:footnoteRef/>
      </w:r>
      <w:r>
        <w:rPr>
          <w:rFonts w:ascii="Calibri" w:cs="Calibri" w:eastAsia="Calibri" w:hAnsi="Calibri"/>
          <w:b/>
          <w:bCs/>
          <w:sz w:val="17"/>
          <w:szCs w:val="17"/>
        </w:rPr>
        <w:t xml:space="preserve">asset-light: </w:t>
      </w:r>
      <w:r>
        <w:rPr>
          <w:rFonts w:ascii="Calibri" w:cs="Calibri" w:eastAsia="Calibri" w:hAnsi="Calibri"/>
          <w:sz w:val="17"/>
          <w:szCs w:val="17"/>
        </w:rPr>
        <w:t xml:space="preserve">Varlık-hafif — sabit varlığa sahip olmadan işletme/yönetim sözleşmesiyle çalışan model.</w:t>
      </w:r>
    </w:p>
  </w:footnote>
  <w:footnote w:id="16">
    <w:p>
      <w:r>
        <w:rPr>
          <w:rStyle w:val="FootnoteReference"/>
        </w:rPr>
        <w:footnoteRef/>
      </w:r>
      <w:r>
        <w:rPr>
          <w:rFonts w:ascii="Calibri" w:cs="Calibri" w:eastAsia="Calibri" w:hAnsi="Calibri"/>
          <w:b/>
          <w:bCs/>
          <w:sz w:val="17"/>
          <w:szCs w:val="17"/>
        </w:rPr>
        <w:t xml:space="preserve">co-tenancy: </w:t>
      </w:r>
      <w:r>
        <w:rPr>
          <w:rFonts w:ascii="Calibri" w:cs="Calibri" w:eastAsia="Calibri" w:hAnsi="Calibri"/>
          <w:sz w:val="17"/>
          <w:szCs w:val="17"/>
        </w:rPr>
        <w:t xml:space="preserve">Ortak kiracılık maddesi — çapa mağaza boşalırsa sıra dükkânlara kira indirimi veya çıkış hakkı veren kira şartı.</w:t>
      </w:r>
    </w:p>
  </w:footnote>
  <w:footnote w:id="17">
    <w:p>
      <w:r>
        <w:rPr>
          <w:rStyle w:val="FootnoteReference"/>
        </w:rPr>
        <w:footnoteRef/>
      </w:r>
      <w:r>
        <w:rPr>
          <w:rFonts w:ascii="Calibri" w:cs="Calibri" w:eastAsia="Calibri" w:hAnsi="Calibri"/>
          <w:b/>
          <w:bCs/>
          <w:sz w:val="17"/>
          <w:szCs w:val="17"/>
        </w:rPr>
        <w:t xml:space="preserve">non-collateral anchor: </w:t>
      </w:r>
      <w:r>
        <w:rPr>
          <w:rFonts w:ascii="Calibri" w:cs="Calibri" w:eastAsia="Calibri" w:hAnsi="Calibri"/>
          <w:sz w:val="17"/>
          <w:szCs w:val="17"/>
        </w:rPr>
        <w:t xml:space="preserve">Teminat dışı çapa — mülkiyeti AVM sahibinde değil, mağaza zincirinde olan çapa parseli; AVM kredisinin teminatına dahil değildir.</w:t>
      </w:r>
    </w:p>
  </w:footnote>
  <w:footnote w:id="18">
    <w:p>
      <w:r>
        <w:rPr>
          <w:rStyle w:val="FootnoteReference"/>
        </w:rPr>
        <w:footnoteRef/>
      </w:r>
      <w:r>
        <w:rPr>
          <w:rFonts w:ascii="Calibri" w:cs="Calibri" w:eastAsia="Calibri" w:hAnsi="Calibri"/>
          <w:b/>
          <w:bCs/>
          <w:sz w:val="17"/>
          <w:szCs w:val="17"/>
        </w:rPr>
        <w:t xml:space="preserve">Phygital-Ready: </w:t>
      </w:r>
      <w:r>
        <w:rPr>
          <w:rFonts w:ascii="Calibri" w:cs="Calibri" w:eastAsia="Calibri" w:hAnsi="Calibri"/>
          <w:sz w:val="17"/>
          <w:szCs w:val="17"/>
        </w:rPr>
        <w:t xml:space="preserve">ALA terimi: güç, iklimlendirme, yangın güvenliği ve veri altyapısı hazır “fijital-hazır” boş kabuk.</w:t>
      </w:r>
    </w:p>
  </w:footnote>
  <w:footnote w:id="19">
    <w:p>
      <w:r>
        <w:rPr>
          <w:rStyle w:val="FootnoteReference"/>
        </w:rPr>
        <w:footnoteRef/>
      </w:r>
      <w:r>
        <w:rPr>
          <w:rFonts w:ascii="Calibri" w:cs="Calibri" w:eastAsia="Calibri" w:hAnsi="Calibri"/>
          <w:b/>
          <w:bCs/>
          <w:sz w:val="17"/>
          <w:szCs w:val="17"/>
        </w:rPr>
        <w:t xml:space="preserve">vanilla shell: </w:t>
      </w:r>
      <w:r>
        <w:rPr>
          <w:rFonts w:ascii="Calibri" w:cs="Calibri" w:eastAsia="Calibri" w:hAnsi="Calibri"/>
          <w:sz w:val="17"/>
          <w:szCs w:val="17"/>
        </w:rPr>
        <w:t xml:space="preserve">Kaba/boş kabuk teslim — bölmesiz, tesisatı hazır ama iç donatımsız alan.</w:t>
      </w:r>
    </w:p>
  </w:footnote>
  <w:footnote w:id="20">
    <w:p>
      <w:r>
        <w:rPr>
          <w:rStyle w:val="FootnoteReference"/>
        </w:rPr>
        <w:footnoteRef/>
      </w:r>
      <w:r>
        <w:rPr>
          <w:rFonts w:ascii="Calibri" w:cs="Calibri" w:eastAsia="Calibri" w:hAnsi="Calibri"/>
          <w:b/>
          <w:bCs/>
          <w:sz w:val="17"/>
          <w:szCs w:val="17"/>
        </w:rPr>
        <w:t xml:space="preserve">common area: </w:t>
      </w:r>
      <w:r>
        <w:rPr>
          <w:rFonts w:ascii="Calibri" w:cs="Calibri" w:eastAsia="Calibri" w:hAnsi="Calibri"/>
          <w:sz w:val="17"/>
          <w:szCs w:val="17"/>
        </w:rPr>
        <w:t xml:space="preserve">Ortak alan — koridorlar, meydanlar, yemek alanı.</w:t>
      </w:r>
    </w:p>
  </w:footnote>
  <w:footnote w:id="21">
    <w:p>
      <w:r>
        <w:rPr>
          <w:rStyle w:val="FootnoteReference"/>
        </w:rPr>
        <w:footnoteRef/>
      </w:r>
      <w:r>
        <w:rPr>
          <w:rFonts w:ascii="Calibri" w:cs="Calibri" w:eastAsia="Calibri" w:hAnsi="Calibri"/>
          <w:b/>
          <w:bCs/>
          <w:sz w:val="17"/>
          <w:szCs w:val="17"/>
        </w:rPr>
        <w:t xml:space="preserve">estoppel: </w:t>
      </w:r>
      <w:r>
        <w:rPr>
          <w:rFonts w:ascii="Calibri" w:cs="Calibri" w:eastAsia="Calibri" w:hAnsi="Calibri"/>
          <w:sz w:val="17"/>
          <w:szCs w:val="17"/>
        </w:rPr>
        <w:t xml:space="preserve">Teyit beyanı — bir tarafın sözleşme durumunu üçüncü tarafa (örn. finansör) yazılı teyit etmesi.</w:t>
      </w:r>
    </w:p>
  </w:footnote>
  <w:footnote w:id="22">
    <w:p>
      <w:r>
        <w:rPr>
          <w:rStyle w:val="FootnoteReference"/>
        </w:rPr>
        <w:footnoteRef/>
      </w:r>
      <w:r>
        <w:rPr>
          <w:rFonts w:ascii="Calibri" w:cs="Calibri" w:eastAsia="Calibri" w:hAnsi="Calibri"/>
          <w:b/>
          <w:bCs/>
          <w:sz w:val="17"/>
          <w:szCs w:val="17"/>
        </w:rPr>
        <w:t xml:space="preserve">SNDA: </w:t>
      </w:r>
      <w:r>
        <w:rPr>
          <w:rFonts w:ascii="Calibri" w:cs="Calibri" w:eastAsia="Calibri" w:hAnsi="Calibri"/>
          <w:sz w:val="17"/>
          <w:szCs w:val="17"/>
        </w:rPr>
        <w:t xml:space="preserve">Subordination, Non-Disturbance and Attornment — kiracı/kullanıcının haklarını alacaklıya karşı koruyan üçlü anlaşma.</w:t>
      </w:r>
    </w:p>
  </w:footnote>
  <w:footnote w:id="23">
    <w:p>
      <w:r>
        <w:rPr>
          <w:rStyle w:val="FootnoteReference"/>
        </w:rPr>
        <w:footnoteRef/>
      </w:r>
      <w:r>
        <w:rPr>
          <w:rFonts w:ascii="Calibri" w:cs="Calibri" w:eastAsia="Calibri" w:hAnsi="Calibri"/>
          <w:b/>
          <w:bCs/>
          <w:sz w:val="17"/>
          <w:szCs w:val="17"/>
        </w:rPr>
        <w:t xml:space="preserve">floor guarantee: </w:t>
      </w:r>
      <w:r>
        <w:rPr>
          <w:rFonts w:ascii="Calibri" w:cs="Calibri" w:eastAsia="Calibri" w:hAnsi="Calibri"/>
          <w:sz w:val="17"/>
          <w:szCs w:val="17"/>
        </w:rPr>
        <w:t xml:space="preserve">Taban gelir garantisi — operatörün mülk sahibine belirli bir asgari geliri taahhüt etmesi.</w:t>
      </w:r>
    </w:p>
  </w:footnote>
  <w:footnote w:id="24">
    <w:p>
      <w:r>
        <w:rPr>
          <w:rStyle w:val="FootnoteReference"/>
        </w:rPr>
        <w:footnoteRef/>
      </w:r>
      <w:r>
        <w:rPr>
          <w:rFonts w:ascii="Calibri" w:cs="Calibri" w:eastAsia="Calibri" w:hAnsi="Calibri"/>
          <w:b/>
          <w:bCs/>
          <w:sz w:val="17"/>
          <w:szCs w:val="17"/>
        </w:rPr>
        <w:t xml:space="preserve">halo: </w:t>
      </w:r>
      <w:r>
        <w:rPr>
          <w:rFonts w:ascii="Calibri" w:cs="Calibri" w:eastAsia="Calibri" w:hAnsi="Calibri"/>
          <w:sz w:val="17"/>
          <w:szCs w:val="17"/>
        </w:rPr>
        <w:t xml:space="preserve">Hale etkisi — canlı bir çapanın komşu dükkânların kirasını/ yenilemelerini yukarı çekmesi.</w:t>
      </w:r>
    </w:p>
  </w:footnote>
  <w:footnote w:id="25">
    <w:p>
      <w:r>
        <w:rPr>
          <w:rStyle w:val="FootnoteReference"/>
        </w:rPr>
        <w:footnoteRef/>
      </w:r>
      <w:r>
        <w:rPr>
          <w:rFonts w:ascii="Calibri" w:cs="Calibri" w:eastAsia="Calibri" w:hAnsi="Calibri"/>
          <w:b/>
          <w:bCs/>
          <w:sz w:val="17"/>
          <w:szCs w:val="17"/>
        </w:rPr>
        <w:t xml:space="preserve">REA: </w:t>
      </w:r>
      <w:r>
        <w:rPr>
          <w:rFonts w:ascii="Calibri" w:cs="Calibri" w:eastAsia="Calibri" w:hAnsi="Calibri"/>
          <w:sz w:val="17"/>
          <w:szCs w:val="17"/>
        </w:rPr>
        <w:t xml:space="preserve">Reciprocal Easement Agreement — karşılıklı irtifak sözleşmesi; AVM parselleri arasında kullanım, otopark, geçiş ve tabela haklarını düzenler.</w:t>
      </w:r>
    </w:p>
  </w:footnote>
  <w:footnote w:id="26">
    <w:p>
      <w:r>
        <w:rPr>
          <w:rStyle w:val="FootnoteReference"/>
        </w:rPr>
        <w:footnoteRef/>
      </w:r>
      <w:r>
        <w:rPr>
          <w:rFonts w:ascii="Calibri" w:cs="Calibri" w:eastAsia="Calibri" w:hAnsi="Calibri"/>
          <w:b/>
          <w:bCs/>
          <w:sz w:val="17"/>
          <w:szCs w:val="17"/>
        </w:rPr>
        <w:t xml:space="preserve">write-off: </w:t>
      </w:r>
      <w:r>
        <w:rPr>
          <w:rFonts w:ascii="Calibri" w:cs="Calibri" w:eastAsia="Calibri" w:hAnsi="Calibri"/>
          <w:sz w:val="17"/>
          <w:szCs w:val="17"/>
        </w:rPr>
        <w:t xml:space="preserve">Zarar yazma — alacağın defterden silinmesi.</w:t>
      </w:r>
    </w:p>
  </w:footnote>
  <w:footnote w:id="27">
    <w:p>
      <w:r>
        <w:rPr>
          <w:rStyle w:val="FootnoteReference"/>
        </w:rPr>
        <w:footnoteRef/>
      </w:r>
      <w:r>
        <w:rPr>
          <w:rFonts w:ascii="Calibri" w:cs="Calibri" w:eastAsia="Calibri" w:hAnsi="Calibri"/>
          <w:b/>
          <w:bCs/>
          <w:sz w:val="17"/>
          <w:szCs w:val="17"/>
        </w:rPr>
        <w:t xml:space="preserve">enterprise value: </w:t>
      </w:r>
      <w:r>
        <w:rPr>
          <w:rFonts w:ascii="Calibri" w:cs="Calibri" w:eastAsia="Calibri" w:hAnsi="Calibri"/>
          <w:sz w:val="17"/>
          <w:szCs w:val="17"/>
        </w:rPr>
        <w:t xml:space="preserve">Şirket değeri — hisse değeri + net borç.</w:t>
      </w:r>
    </w:p>
  </w:footnote>
  <w:footnote w:id="28">
    <w:p>
      <w:r>
        <w:rPr>
          <w:rStyle w:val="FootnoteReference"/>
        </w:rPr>
        <w:footnoteRef/>
      </w:r>
      <w:r>
        <w:rPr>
          <w:rFonts w:ascii="Calibri" w:cs="Calibri" w:eastAsia="Calibri" w:hAnsi="Calibri"/>
          <w:b/>
          <w:bCs/>
          <w:sz w:val="17"/>
          <w:szCs w:val="17"/>
        </w:rPr>
        <w:t xml:space="preserve">BOE: </w:t>
      </w:r>
      <w:r>
        <w:rPr>
          <w:rFonts w:ascii="Calibri" w:cs="Calibri" w:eastAsia="Calibri" w:hAnsi="Calibri"/>
          <w:sz w:val="17"/>
          <w:szCs w:val="17"/>
        </w:rPr>
        <w:t xml:space="preserve">Building Operations &amp; Experience — CBRE’nin Industrious alımıyla kurduğu bina işletme ve deneyim segmenti.</w:t>
      </w:r>
    </w:p>
  </w:footnote>
  <w:footnote w:id="29">
    <w:p>
      <w:r>
        <w:rPr>
          <w:rStyle w:val="FootnoteReference"/>
        </w:rPr>
        <w:footnoteRef/>
      </w:r>
      <w:r>
        <w:rPr>
          <w:rFonts w:ascii="Calibri" w:cs="Calibri" w:eastAsia="Calibri" w:hAnsi="Calibri"/>
          <w:b/>
          <w:bCs/>
          <w:sz w:val="17"/>
          <w:szCs w:val="17"/>
        </w:rPr>
        <w:t xml:space="preserve">convertible note: </w:t>
      </w:r>
      <w:r>
        <w:rPr>
          <w:rFonts w:ascii="Calibri" w:cs="Calibri" w:eastAsia="Calibri" w:hAnsi="Calibri"/>
          <w:sz w:val="17"/>
          <w:szCs w:val="17"/>
        </w:rPr>
        <w:t xml:space="preserve">Dönüştürülebilir tahvil — hisseye çevrilebilen borç.</w:t>
      </w:r>
    </w:p>
  </w:footnote>
  <w:footnote w:id="30">
    <w:p>
      <w:r>
        <w:rPr>
          <w:rStyle w:val="FootnoteReference"/>
        </w:rPr>
        <w:footnoteRef/>
      </w:r>
      <w:r>
        <w:rPr>
          <w:rFonts w:ascii="Calibri" w:cs="Calibri" w:eastAsia="Calibri" w:hAnsi="Calibri"/>
          <w:b/>
          <w:bCs/>
          <w:sz w:val="17"/>
          <w:szCs w:val="17"/>
        </w:rPr>
        <w:t xml:space="preserve">accretive: </w:t>
      </w:r>
      <w:r>
        <w:rPr>
          <w:rFonts w:ascii="Calibri" w:cs="Calibri" w:eastAsia="Calibri" w:hAnsi="Calibri"/>
          <w:sz w:val="17"/>
          <w:szCs w:val="17"/>
        </w:rPr>
        <w:t xml:space="preserve">Kâra/hisse başına kazanca ilk günden katkı sağlayan (satın alma için).</w:t>
      </w:r>
    </w:p>
  </w:footnote>
  <w:footnote w:id="31">
    <w:p>
      <w:r>
        <w:rPr>
          <w:rStyle w:val="FootnoteReference"/>
        </w:rPr>
        <w:footnoteRef/>
      </w:r>
      <w:r>
        <w:rPr>
          <w:rFonts w:ascii="Calibri" w:cs="Calibri" w:eastAsia="Calibri" w:hAnsi="Calibri"/>
          <w:b/>
          <w:bCs/>
          <w:sz w:val="17"/>
          <w:szCs w:val="17"/>
        </w:rPr>
        <w:t xml:space="preserve">fee-defense: </w:t>
      </w:r>
      <w:r>
        <w:rPr>
          <w:rFonts w:ascii="Calibri" w:cs="Calibri" w:eastAsia="Calibri" w:hAnsi="Calibri"/>
          <w:sz w:val="17"/>
          <w:szCs w:val="17"/>
        </w:rPr>
        <w:t xml:space="preserve">Ücret savunması — hizmet şirketinin yönettiği binalardan aldığı ücret gelirini korumak için yaptığı yatırım (VMA terimi).</w:t>
      </w:r>
    </w:p>
  </w:footnote>
  <w:footnote w:id="32">
    <w:p>
      <w:r>
        <w:rPr>
          <w:rStyle w:val="FootnoteReference"/>
        </w:rPr>
        <w:footnoteRef/>
      </w:r>
      <w:r>
        <w:rPr>
          <w:rFonts w:ascii="Calibri" w:cs="Calibri" w:eastAsia="Calibri" w:hAnsi="Calibri"/>
          <w:b/>
          <w:bCs/>
          <w:sz w:val="17"/>
          <w:szCs w:val="17"/>
        </w:rPr>
        <w:t xml:space="preserve">flex workspace: </w:t>
      </w:r>
      <w:r>
        <w:rPr>
          <w:rFonts w:ascii="Calibri" w:cs="Calibri" w:eastAsia="Calibri" w:hAnsi="Calibri"/>
          <w:sz w:val="17"/>
          <w:szCs w:val="17"/>
        </w:rPr>
        <w:t xml:space="preserve">Esnek ofis — kısa vadeli, servisli ofis/masa kiralama (Industrious, WeWork).</w:t>
      </w:r>
    </w:p>
  </w:footnote>
  <w:footnote w:id="33">
    <w:p>
      <w:r>
        <w:rPr>
          <w:rStyle w:val="FootnoteReference"/>
        </w:rPr>
        <w:footnoteRef/>
      </w:r>
      <w:r>
        <w:rPr>
          <w:rFonts w:ascii="Calibri" w:cs="Calibri" w:eastAsia="Calibri" w:hAnsi="Calibri"/>
          <w:b/>
          <w:bCs/>
          <w:sz w:val="17"/>
          <w:szCs w:val="17"/>
        </w:rPr>
        <w:t xml:space="preserve">Bear / Base / Bull: </w:t>
      </w:r>
      <w:r>
        <w:rPr>
          <w:rFonts w:ascii="Calibri" w:cs="Calibri" w:eastAsia="Calibri" w:hAnsi="Calibri"/>
          <w:sz w:val="17"/>
          <w:szCs w:val="17"/>
        </w:rPr>
        <w:t xml:space="preserve">Kötümser / baz / iyimser senaryo.</w:t>
      </w:r>
    </w:p>
  </w:footnote>
  <w:footnote w:id="34">
    <w:p>
      <w:r>
        <w:rPr>
          <w:rStyle w:val="FootnoteReference"/>
        </w:rPr>
        <w:footnoteRef/>
      </w:r>
      <w:r>
        <w:rPr>
          <w:rFonts w:ascii="Calibri" w:cs="Calibri" w:eastAsia="Calibri" w:hAnsi="Calibri"/>
          <w:b/>
          <w:bCs/>
          <w:sz w:val="17"/>
          <w:szCs w:val="17"/>
        </w:rPr>
        <w:t xml:space="preserve">distributable cash: </w:t>
      </w:r>
      <w:r>
        <w:rPr>
          <w:rFonts w:ascii="Calibri" w:cs="Calibri" w:eastAsia="Calibri" w:hAnsi="Calibri"/>
          <w:sz w:val="17"/>
          <w:szCs w:val="17"/>
        </w:rPr>
        <w:t xml:space="preserve">Dağıtılabilir nakit — giderler, rezervler ve öncelikli ödemelerden sonra ortaklara kalan nakit.</w:t>
      </w:r>
    </w:p>
  </w:footnote>
  <w:footnote w:id="35">
    <w:p>
      <w:r>
        <w:rPr>
          <w:rStyle w:val="FootnoteReference"/>
        </w:rPr>
        <w:footnoteRef/>
      </w:r>
      <w:r>
        <w:rPr>
          <w:rFonts w:ascii="Calibri" w:cs="Calibri" w:eastAsia="Calibri" w:hAnsi="Calibri"/>
          <w:b/>
          <w:bCs/>
          <w:sz w:val="17"/>
          <w:szCs w:val="17"/>
        </w:rPr>
        <w:t xml:space="preserve">cap rate: </w:t>
      </w:r>
      <w:r>
        <w:rPr>
          <w:rFonts w:ascii="Calibri" w:cs="Calibri" w:eastAsia="Calibri" w:hAnsi="Calibri"/>
          <w:sz w:val="17"/>
          <w:szCs w:val="17"/>
        </w:rPr>
        <w:t xml:space="preserve">Capitalization rate — kapitalizasyon oranı: NOI / mülk değeri. Oran yükseldikçe değer düşer.</w:t>
      </w:r>
    </w:p>
  </w:footnote>
  <w:footnote w:id="36">
    <w:p>
      <w:r>
        <w:rPr>
          <w:rStyle w:val="FootnoteReference"/>
        </w:rPr>
        <w:footnoteRef/>
      </w:r>
      <w:r>
        <w:rPr>
          <w:rFonts w:ascii="Calibri" w:cs="Calibri" w:eastAsia="Calibri" w:hAnsi="Calibri"/>
          <w:b/>
          <w:bCs/>
          <w:sz w:val="17"/>
          <w:szCs w:val="17"/>
        </w:rPr>
        <w:t xml:space="preserve">RevPAR: </w:t>
      </w:r>
      <w:r>
        <w:rPr>
          <w:rFonts w:ascii="Calibri" w:cs="Calibri" w:eastAsia="Calibri" w:hAnsi="Calibri"/>
          <w:sz w:val="17"/>
          <w:szCs w:val="17"/>
        </w:rPr>
        <w:t xml:space="preserve">Revenue per Available Room — kullanılabilir oda başına gelir (otel KPI’ı). RevPAM: metre (B belgesi) veya üye (D belgesi) başına gelir.</w:t>
      </w:r>
    </w:p>
  </w:footnote>
  <w:footnote w:id="37">
    <w:p>
      <w:r>
        <w:rPr>
          <w:rStyle w:val="FootnoteReference"/>
        </w:rPr>
        <w:footnoteRef/>
      </w:r>
      <w:r>
        <w:rPr>
          <w:rFonts w:ascii="Calibri" w:cs="Calibri" w:eastAsia="Calibri" w:hAnsi="Calibri"/>
          <w:b/>
          <w:bCs/>
          <w:sz w:val="17"/>
          <w:szCs w:val="17"/>
        </w:rPr>
        <w:t xml:space="preserve">tag / drag: </w:t>
      </w:r>
      <w:r>
        <w:rPr>
          <w:rFonts w:ascii="Calibri" w:cs="Calibri" w:eastAsia="Calibri" w:hAnsi="Calibri"/>
          <w:sz w:val="17"/>
          <w:szCs w:val="17"/>
        </w:rPr>
        <w:t xml:space="preserve">Birlikte satma hakkı / sürükleme hakkı. ROFR (right of first refusal): ön alım hakkı.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ED6" w:sz="4" w:space="4"/>
      </w:pBdr>
      <w:jc w:val="right"/>
    </w:pPr>
    <w:r>
      <w:rPr>
        <w:rFonts w:ascii="Calibri" w:cs="Calibri" w:eastAsia="Calibri" w:hAnsi="Calibri"/>
        <w:color w:val="5A5A5A"/>
        <w:sz w:val="16"/>
        <w:szCs w:val="16"/>
      </w:rPr>
      <w:t xml:space="preserve">Value Masters Academy · Kurucular Kurulu El Kitabı Cilt 1 · Kutunun Sahibi · çalışma taslağı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00"/>
      </w:pPr>
    </w:lvl>
  </w:abstractNum>
  <w:abstractNum w:abstractNumId="3" w15:restartNumberingAfterBreak="0">
    <w:multiLevelType w:val="hybridMultilevel"/>
    <w:lvl w:ilvl="0" w15:tentative="1">
      <w:start w:val="1"/>
      <w:numFmt w:val="decimal"/>
      <w:lvlText w:val="%1."/>
      <w:lvlJc w:val="left"/>
      <w:pPr>
        <w:ind w:left="540" w:hanging="30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Georgia" w:cs="Georgia" w:eastAsia="Georgia" w:hAnsi="Georgia"/>
      <w:b/>
      <w:bCs/>
      <w:color w:val="0F2A44"/>
      <w:sz w:val="34"/>
      <w:szCs w:val="34"/>
    </w:rPr>
  </w:style>
  <w:style w:type="paragraph" w:styleId="Heading2">
    <w:name w:val="Heading 2"/>
    <w:basedOn w:val="Normal"/>
    <w:next w:val="Normal"/>
    <w:qFormat/>
    <w:pPr>
      <w:spacing w:after="120" w:before="260"/>
      <w:outlineLvl w:val="1"/>
    </w:pPr>
    <w:rPr>
      <w:rFonts w:ascii="Georgia" w:cs="Georgia" w:eastAsia="Georgia" w:hAnsi="Georgia"/>
      <w:b/>
      <w:bCs/>
      <w:color w:val="0F2A44"/>
      <w:sz w:val="26"/>
      <w:szCs w:val="26"/>
    </w:rPr>
  </w:style>
  <w:style w:type="paragraph" w:styleId="Heading3">
    <w:name w:val="Heading 3"/>
    <w:basedOn w:val="Normal"/>
    <w:next w:val="Normal"/>
    <w:qFormat/>
    <w:pPr>
      <w:spacing w:after="80" w:before="200"/>
      <w:outlineLvl w:val="2"/>
    </w:pPr>
    <w:rPr>
      <w:rFonts w:ascii="Calibri" w:cs="Calibri" w:eastAsia="Calibri" w:hAnsi="Calibri"/>
      <w:b/>
      <w:bCs/>
      <w:color w:val="B5651D"/>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Kutunun Sahibi — Kurucular Kurulu El Kitabı, Cilt 1</dc:title>
  <dc:creator>Value Masters Academy</dc:creator>
  <cp:lastModifiedBy>Un-named</cp:lastModifiedBy>
  <cp:revision>1</cp:revision>
  <dcterms:created xsi:type="dcterms:W3CDTF">2026-08-31T02:53:21.547Z</dcterms:created>
  <dcterms:modified xsi:type="dcterms:W3CDTF">2026-08-31T02:53:21.547Z</dcterms:modified>
</cp:coreProperties>
</file>

<file path=docProps/custom.xml><?xml version="1.0" encoding="utf-8"?>
<Properties xmlns="http://schemas.openxmlformats.org/officeDocument/2006/custom-properties" xmlns:vt="http://schemas.openxmlformats.org/officeDocument/2006/docPropsVTypes"/>
</file>