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0"/>
      </w:pPr>
    </w:p>
    <w:p>
      <w:pPr>
        <w:spacing w:after="60"/>
      </w:pPr>
      <w:r>
        <w:rPr>
          <w:rFonts w:ascii="Calibri" w:cs="Calibri" w:eastAsia="Calibri" w:hAnsi="Calibri"/>
          <w:b/>
          <w:bCs/>
          <w:color w:val="B5651D"/>
          <w:spacing w:val="60"/>
          <w:sz w:val="20"/>
          <w:szCs w:val="20"/>
        </w:rPr>
        <w:t xml:space="preserve">VALUE MASTERS ACADEMY</w:t>
      </w:r>
    </w:p>
    <w:p>
      <w:pPr>
        <w:spacing w:after="700"/>
      </w:pPr>
      <w:r>
        <w:rPr>
          <w:rFonts w:ascii="Calibri" w:cs="Calibri" w:eastAsia="Calibri" w:hAnsi="Calibri"/>
          <w:color w:val="5A5A5A"/>
          <w:sz w:val="18"/>
          <w:szCs w:val="18"/>
        </w:rPr>
        <w:t xml:space="preserve">Founders’ Council Handbook · Volume 1 · Working draft for council approval</w:t>
      </w:r>
    </w:p>
    <w:p>
      <w:pPr>
        <w:spacing w:after="160"/>
      </w:pPr>
      <w:r>
        <w:rPr>
          <w:rFonts w:ascii="Georgia" w:cs="Georgia" w:eastAsia="Georgia" w:hAnsi="Georgia"/>
          <w:b/>
          <w:bCs/>
          <w:color w:val="0F2A44"/>
          <w:sz w:val="60"/>
          <w:szCs w:val="60"/>
        </w:rPr>
        <w:t xml:space="preserve">The Owner of the Box</w:t>
      </w:r>
    </w:p>
    <w:p>
      <w:pPr>
        <w:spacing w:after="80"/>
      </w:pPr>
      <w:r>
        <w:rPr>
          <w:rFonts w:ascii="Georgia" w:cs="Georgia" w:eastAsia="Georgia" w:hAnsi="Georgia"/>
          <w:color w:val="0F2A44"/>
          <w:sz w:val="30"/>
          <w:szCs w:val="30"/>
        </w:rPr>
        <w:t xml:space="preserve">The Landlord’s Role in the Third Channel</w:t>
      </w:r>
    </w:p>
    <w:p>
      <w:pPr>
        <w:spacing w:after="600"/>
      </w:pPr>
      <w:r>
        <w:rPr>
          <w:rFonts w:ascii="Calibri" w:cs="Calibri" w:eastAsia="Calibri" w:hAnsi="Calibri"/>
          <w:color w:val="B5651D"/>
          <w:sz w:val="22"/>
          <w:szCs w:val="22"/>
        </w:rPr>
        <w:t xml:space="preserve">Atmosphere™ · Third Place · Third Space · Third Channel</w:t>
      </w:r>
    </w:p>
    <w:p>
      <w:pPr>
        <w:spacing w:after="40"/>
      </w:pPr>
      <w:r>
        <w:rPr>
          <w:rFonts w:ascii="Calibri" w:cs="Calibri" w:eastAsia="Calibri" w:hAnsi="Calibri"/>
          <w:color w:val="5A5A5A"/>
          <w:sz w:val="18"/>
          <w:szCs w:val="18"/>
        </w:rPr>
        <w:t xml:space="preserve">Prepared for</w:t>
      </w:r>
    </w:p>
    <w:p>
      <w:pPr>
        <w:spacing w:after="300"/>
      </w:pPr>
      <w:r>
        <w:rPr>
          <w:rFonts w:ascii="Calibri" w:cs="Calibri" w:eastAsia="Calibri" w:hAnsi="Calibri"/>
          <w:b/>
          <w:bCs/>
          <w:color w:val="0F2A44"/>
          <w:sz w:val="24"/>
          <w:szCs w:val="24"/>
        </w:rPr>
        <w:t xml:space="preserve">A Level Alliances — Founders’ Council &amp; Alliance Candidates</w:t>
      </w:r>
    </w:p>
    <w:p>
      <w:pPr>
        <w:spacing w:after="1400"/>
      </w:pPr>
      <w:r>
        <w:rPr>
          <w:rFonts w:ascii="Calibri" w:cs="Calibri" w:eastAsia="Calibri" w:hAnsi="Calibri"/>
          <w:color w:val="5A5A5A"/>
          <w:sz w:val="18"/>
          <w:szCs w:val="18"/>
        </w:rPr>
        <w:t xml:space="preserve">Field observations 2023–2026 (Memed Narin) set beside open-source counterparts · Verified 30 August 2026</w:t>
      </w:r>
    </w:p>
    <w:p>
      <w:pPr>
        <w:keepNext/>
        <w:pBdr>
          <w:left w:val="single" w:color="B5651D" w:sz="24" w:space="8"/>
        </w:pBdr>
        <w:shd w:fill="FBF4EC" w:color="auto" w:val="clear"/>
        <w:spacing w:after="60" w:before="120" w:line="290"/>
        <w:ind w:left="200" w:right="200"/>
      </w:pPr>
      <w:r>
        <w:rPr>
          <w:rFonts w:ascii="Calibri" w:cs="Calibri" w:eastAsia="Calibri" w:hAnsi="Calibri"/>
          <w:b/>
          <w:bCs/>
          <w:caps/>
          <w:color w:val="B5651D"/>
          <w:spacing w:val="20"/>
          <w:sz w:val="20"/>
          <w:szCs w:val="20"/>
        </w:rPr>
        <w:t xml:space="preserve">How to read this handbook</w:t>
      </w:r>
    </w:p>
    <w:p>
      <w:pPr>
        <w:pBdr>
          <w:left w:val="single" w:color="B5651D" w:sz="24" w:space="8"/>
        </w:pBdr>
        <w:shd w:fill="FBF4EC" w:color="auto" w:val="clear"/>
        <w:spacing w:after="80" w:line="290"/>
        <w:ind w:left="200" w:right="200"/>
      </w:pPr>
      <w:r>
        <w:rPr>
          <w:rFonts w:ascii="Calibri" w:cs="Calibri" w:eastAsia="Calibri" w:hAnsi="Calibri"/>
          <w:b/>
          <w:bCs/>
          <w:sz w:val="21"/>
          <w:szCs w:val="21"/>
        </w:rPr>
        <w:t xml:space="preserve">This is not a pitch.</w:t>
      </w:r>
      <w:r>
        <w:rPr>
          <w:rFonts w:ascii="Calibri" w:cs="Calibri" w:eastAsia="Calibri" w:hAnsi="Calibri"/>
          <w:sz w:val="21"/>
          <w:szCs w:val="21"/>
        </w:rPr>
        <w:t xml:space="preserve"> It is a working handbook for the Founders’ Council. Every line is subject to council approval and carries a decision box. Where the five A Level Alliances documents (listed in Appendix A) describe the same thing differently — a metric, a share, a structure — that is not an error to be fixed by the author; it is a viewpoint produced by three years of fieldwork, and it is placed before the council as a decision item with its open-source counterpart beside it.</w:t>
      </w:r>
    </w:p>
    <w:p>
      <w:pPr>
        <w:pBdr>
          <w:left w:val="single" w:color="B5651D" w:sz="24" w:space="8"/>
        </w:pBdr>
        <w:shd w:fill="FBF4EC" w:color="auto" w:val="clear"/>
        <w:spacing w:after="160" w:line="290"/>
        <w:ind w:left="200" w:right="200"/>
      </w:pPr>
      <w:r>
        <w:rPr>
          <w:rFonts w:ascii="Calibri" w:cs="Calibri" w:eastAsia="Calibri" w:hAnsi="Calibri"/>
          <w:b/>
          <w:bCs/>
          <w:sz w:val="21"/>
          <w:szCs w:val="21"/>
        </w:rPr>
        <w:t xml:space="preserve">Two labels run through the text. </w:t>
      </w:r>
      <w:r>
        <w:rPr>
          <w:rFonts w:ascii="Calibri" w:cs="Calibri" w:eastAsia="Calibri" w:hAnsi="Calibri"/>
          <w:b/>
          <w:bCs/>
          <w:color w:val="0F2A44"/>
          <w:sz w:val="21"/>
          <w:szCs w:val="21"/>
        </w:rPr>
        <w:t xml:space="preserve">FIELD</w:t>
      </w:r>
      <w:r>
        <w:rPr>
          <w:rFonts w:ascii="Calibri" w:cs="Calibri" w:eastAsia="Calibri" w:hAnsi="Calibri"/>
          <w:sz w:val="21"/>
          <w:szCs w:val="21"/>
        </w:rPr>
        <w:t xml:space="preserve"> marks an observation from Memed Narin’s fieldwork or the ALA documents. </w:t>
      </w:r>
      <w:r>
        <w:rPr>
          <w:rFonts w:ascii="Calibri" w:cs="Calibri" w:eastAsia="Calibri" w:hAnsi="Calibri"/>
          <w:b/>
          <w:bCs/>
          <w:color w:val="1F6B3A"/>
          <w:sz w:val="21"/>
          <w:szCs w:val="21"/>
        </w:rPr>
        <w:t xml:space="preserve">OPEN SOURCE</w:t>
      </w:r>
      <w:r>
        <w:rPr>
          <w:rFonts w:ascii="Calibri" w:cs="Calibri" w:eastAsia="Calibri" w:hAnsi="Calibri"/>
          <w:sz w:val="21"/>
          <w:szCs w:val="21"/>
        </w:rPr>
        <w:t xml:space="preserve"> marks a figure re-pulled from a public source, numbered to Appendix B. Anything else is a Value Masters Academy illustration and says so.</w:t>
      </w:r>
    </w:p>
    <w:p>
      <w:pPr>
        <w:spacing w:after="120" w:line="260"/>
      </w:pPr>
      <w:r>
        <w:rPr>
          <w:rFonts w:ascii="Calibri" w:cs="Calibri" w:eastAsia="Calibri" w:hAnsi="Calibri"/>
          <w:i/>
          <w:iCs/>
          <w:color w:val="5A5A5A"/>
          <w:sz w:val="18"/>
          <w:szCs w:val="18"/>
        </w:rPr>
        <w:t xml:space="preserve">Not an offer of securities. Market data is cited from public sources. ALA material is management observation and projection and is labelled as such.</w:t>
      </w:r>
    </w:p>
    <w:p>
      <w:pPr>
        <w:sectPr>
          <w:pgSz w:w="12240" w:h="15840" w:orient="portrait"/>
          <w:pgMar w:top="1440" w:right="1440" w:bottom="1440" w:left="1440" w:header="708" w:footer="708" w:gutter="0"/>
          <w:pgNumType/>
          <w:docGrid w:linePitch="360"/>
        </w:sectPr>
      </w:pPr>
    </w:p>
    <w:p>
      <w:pPr>
        <w:pStyle w:val="Heading1"/>
        <w:pBdr>
          <w:bottom w:val="single" w:color="B5651D" w:sz="6" w:space="4"/>
        </w:pBdr>
        <w:spacing w:after="180" w:before="360"/>
      </w:pPr>
      <w:r>
        <w:rPr>
          <w:rFonts w:ascii="Georgia" w:cs="Georgia" w:eastAsia="Georgia" w:hAnsi="Georgia"/>
          <w:b/>
          <w:bCs/>
          <w:color w:val="0F2A44"/>
          <w:sz w:val="34"/>
          <w:szCs w:val="34"/>
        </w:rPr>
        <w:t xml:space="preserve">0. Read me first — one glass of water</w:t>
      </w:r>
    </w:p>
    <w:p>
      <w:pPr>
        <w:spacing w:after="140" w:line="300"/>
      </w:pPr>
      <w:r>
        <w:rPr>
          <w:rFonts w:ascii="Calibri" w:cs="Calibri" w:eastAsia="Calibri" w:hAnsi="Calibri"/>
          <w:sz w:val="22"/>
          <w:szCs w:val="22"/>
        </w:rPr>
        <w:t xml:space="preserve">Three years on the floor produced one sentence: the mall’s common area is the street, brought under a roof. This handbook adds the second sentence the council needs before it decides anything about landlords:</w:t>
      </w:r>
    </w:p>
    <w:p>
      <w:pPr>
        <w:keepNext/>
        <w:pBdr>
          <w:left w:val="single" w:color="B5651D" w:sz="24" w:space="8"/>
        </w:pBdr>
        <w:shd w:fill="FBF4EC" w:color="auto" w:val="clear"/>
        <w:spacing w:after="60" w:before="120" w:line="290"/>
        <w:ind w:left="200" w:right="200"/>
      </w:pPr>
      <w:r>
        <w:rPr>
          <w:rFonts w:ascii="Calibri" w:cs="Calibri" w:eastAsia="Calibri" w:hAnsi="Calibri"/>
          <w:b/>
          <w:bCs/>
          <w:caps/>
          <w:color w:val="B5651D"/>
          <w:spacing w:val="20"/>
          <w:sz w:val="20"/>
          <w:szCs w:val="20"/>
        </w:rPr>
        <w:t xml:space="preserve">The claim, stated so it cannot be knocked over</w:t>
      </w:r>
    </w:p>
    <w:p>
      <w:pPr>
        <w:pBdr>
          <w:left w:val="single" w:color="B5651D" w:sz="24" w:space="8"/>
        </w:pBdr>
        <w:shd w:fill="FBF4EC" w:color="auto" w:val="clear"/>
        <w:spacing w:after="160" w:line="290"/>
        <w:ind w:left="200" w:right="200"/>
      </w:pPr>
      <w:r>
        <w:rPr>
          <w:rFonts w:ascii="Calibri" w:cs="Calibri" w:eastAsia="Calibri" w:hAnsi="Calibri"/>
          <w:b/>
          <w:bCs/>
          <w:sz w:val="21"/>
          <w:szCs w:val="21"/>
        </w:rPr>
        <w:t xml:space="preserve">American shopping floorspace does not have an audience problem at the top and does not have a rescue option at the bottom. It has a monetization problem everywhere.</w:t>
      </w:r>
      <w:r>
        <w:rPr>
          <w:rFonts w:ascii="Calibri" w:cs="Calibri" w:eastAsia="Calibri" w:hAnsi="Calibri"/>
          <w:sz w:val="21"/>
          <w:szCs w:val="21"/>
        </w:rPr>
        <w:t xml:space="preserve"> The top-100 indoor malls are back to within ~1% of 2019 visits; Class B malls are still ~10% below and Class C is losing occupancy — and every one of them earns on one line: rent. </w:t>
      </w:r>
      <w:r>
        <w:rPr>
          <w:rFonts w:ascii="Calibri" w:cs="Calibri" w:eastAsia="Calibri" w:hAnsi="Calibri"/>
          <w:b/>
          <w:bCs/>
          <w:sz w:val="21"/>
          <w:szCs w:val="21"/>
        </w:rPr>
        <w:t xml:space="preserve">Full box, one line; dark box, no line.</w:t>
      </w:r>
      <w:r>
        <w:rPr>
          <w:rFonts w:ascii="Calibri" w:cs="Calibri" w:eastAsia="Calibri" w:hAnsi="Calibri"/>
          <w:sz w:val="21"/>
          <w:szCs w:val="21"/>
        </w:rPr>
        <w:t xml:space="preserve"> The party that owns the ground is the one party structurally unable to build a multi-line venue from inside its own risk model. That is the landlord’s role in the Third Channel: bring the ground — by contribution or by sale of the written-off box — and let an operator convert one line into seven.</w:t>
      </w:r>
    </w:p>
    <w:p>
      <w:pPr>
        <w:spacing w:after="140" w:line="300"/>
      </w:pPr>
      <w:r>
        <w:rPr>
          <w:rFonts w:ascii="Calibri" w:cs="Calibri" w:eastAsia="Calibri" w:hAnsi="Calibri"/>
          <w:sz w:val="22"/>
          <w:szCs w:val="22"/>
        </w:rPr>
        <w:t xml:space="preserve">What this volume does, in order:</w:t>
      </w:r>
    </w:p>
    <w:p>
      <w:pPr>
        <w:pStyle w:val="ListParagraph"/>
        <w:numPr>
          <w:ilvl w:val="0"/>
          <w:numId w:val="2"/>
        </w:numPr>
        <w:spacing w:after="90" w:line="290"/>
      </w:pPr>
      <w:r>
        <w:rPr>
          <w:rFonts w:ascii="Calibri" w:cs="Calibri" w:eastAsia="Calibri" w:hAnsi="Calibri"/>
          <w:b/>
          <w:bCs/>
          <w:sz w:val="22"/>
          <w:szCs w:val="22"/>
        </w:rPr>
        <w:t xml:space="preserve">Places the five ALA documents side by side</w:t>
      </w:r>
      <w:r>
        <w:rPr>
          <w:rFonts w:ascii="Calibri" w:cs="Calibri" w:eastAsia="Calibri" w:hAnsi="Calibri"/>
          <w:sz w:val="22"/>
          <w:szCs w:val="22"/>
        </w:rPr>
        <w:t xml:space="preserve"> and shows the council that they describe three doors into one floor, not three businesses (Section 1).</w:t>
      </w:r>
    </w:p>
    <w:p>
      <w:pPr>
        <w:pStyle w:val="ListParagraph"/>
        <w:numPr>
          <w:ilvl w:val="0"/>
          <w:numId w:val="2"/>
        </w:numPr>
        <w:spacing w:after="90" w:line="290"/>
      </w:pPr>
      <w:r>
        <w:rPr>
          <w:rFonts w:ascii="Calibri" w:cs="Calibri" w:eastAsia="Calibri" w:hAnsi="Calibri"/>
          <w:b/>
          <w:bCs/>
          <w:sz w:val="22"/>
          <w:szCs w:val="22"/>
        </w:rPr>
        <w:t xml:space="preserve">Verifies the substrate</w:t>
      </w:r>
      <w:r>
        <w:rPr>
          <w:rFonts w:ascii="Calibri" w:cs="Calibri" w:eastAsia="Calibri" w:hAnsi="Calibri"/>
          <w:sz w:val="22"/>
          <w:szCs w:val="22"/>
        </w:rPr>
        <w:t xml:space="preserve"> — every macro number a lender, a servicer or a candidate can throw across the table, re-pulled from open sources (Section 2).</w:t>
      </w:r>
    </w:p>
    <w:p>
      <w:pPr>
        <w:pStyle w:val="ListParagraph"/>
        <w:numPr>
          <w:ilvl w:val="0"/>
          <w:numId w:val="2"/>
        </w:numPr>
        <w:spacing w:after="90" w:line="290"/>
      </w:pPr>
      <w:r>
        <w:rPr>
          <w:rFonts w:ascii="Calibri" w:cs="Calibri" w:eastAsia="Calibri" w:hAnsi="Calibri"/>
          <w:b/>
          <w:bCs/>
          <w:sz w:val="22"/>
          <w:szCs w:val="22"/>
        </w:rPr>
        <w:t xml:space="preserve">Defines the landlord’s role by door</w:t>
      </w:r>
      <w:r>
        <w:rPr>
          <w:rFonts w:ascii="Calibri" w:cs="Calibri" w:eastAsia="Calibri" w:hAnsi="Calibri"/>
          <w:sz w:val="22"/>
          <w:szCs w:val="22"/>
        </w:rPr>
        <w:t xml:space="preserve"> — equity partner in one door, counterparty in another, seller in the third (Sections 3–5).</w:t>
      </w:r>
    </w:p>
    <w:p>
      <w:pPr>
        <w:pStyle w:val="ListParagraph"/>
        <w:numPr>
          <w:ilvl w:val="0"/>
          <w:numId w:val="2"/>
        </w:numPr>
        <w:spacing w:after="90" w:line="290"/>
      </w:pPr>
      <w:r>
        <w:rPr>
          <w:rFonts w:ascii="Calibri" w:cs="Calibri" w:eastAsia="Calibri" w:hAnsi="Calibri"/>
          <w:b/>
          <w:bCs/>
          <w:sz w:val="22"/>
          <w:szCs w:val="22"/>
        </w:rPr>
        <w:t xml:space="preserve">Sets out the Industrious argument in the form the council agreed</w:t>
      </w:r>
      <w:r>
        <w:rPr>
          <w:rFonts w:ascii="Calibri" w:cs="Calibri" w:eastAsia="Calibri" w:hAnsi="Calibri"/>
          <w:sz w:val="22"/>
          <w:szCs w:val="22"/>
        </w:rPr>
        <w:t xml:space="preserve"> — the structure as precedent, the price as evidence of a buyer class, the premium as a conditional thesis with a proof ladder (Section 6).</w:t>
      </w:r>
    </w:p>
    <w:p>
      <w:pPr>
        <w:pStyle w:val="ListParagraph"/>
        <w:numPr>
          <w:ilvl w:val="0"/>
          <w:numId w:val="2"/>
        </w:numPr>
        <w:spacing w:after="90" w:line="290"/>
      </w:pPr>
      <w:r>
        <w:rPr>
          <w:rFonts w:ascii="Calibri" w:cs="Calibri" w:eastAsia="Calibri" w:hAnsi="Calibri"/>
          <w:b/>
          <w:bCs/>
          <w:sz w:val="22"/>
          <w:szCs w:val="22"/>
        </w:rPr>
        <w:t xml:space="preserve">Prices the landlord’s seat</w:t>
      </w:r>
      <w:r>
        <w:rPr>
          <w:rFonts w:ascii="Calibri" w:cs="Calibri" w:eastAsia="Calibri" w:hAnsi="Calibri"/>
          <w:sz w:val="22"/>
          <w:szCs w:val="22"/>
        </w:rPr>
        <w:t xml:space="preserve"> with a VMA illustration the sponsor’s team will rebuild (Section 7).</w:t>
      </w:r>
    </w:p>
    <w:p>
      <w:pPr>
        <w:pStyle w:val="ListParagraph"/>
        <w:numPr>
          <w:ilvl w:val="0"/>
          <w:numId w:val="2"/>
        </w:numPr>
        <w:spacing w:after="90" w:line="290"/>
      </w:pPr>
      <w:r>
        <w:rPr>
          <w:rFonts w:ascii="Calibri" w:cs="Calibri" w:eastAsia="Calibri" w:hAnsi="Calibri"/>
          <w:b/>
          <w:bCs/>
          <w:sz w:val="22"/>
          <w:szCs w:val="22"/>
        </w:rPr>
        <w:t xml:space="preserve">Runs the council’s own examination</w:t>
      </w:r>
      <w:r>
        <w:rPr>
          <w:rFonts w:ascii="Calibri" w:cs="Calibri" w:eastAsia="Calibri" w:hAnsi="Calibri"/>
          <w:sz w:val="22"/>
          <w:szCs w:val="22"/>
        </w:rPr>
        <w:t xml:space="preserve"> — “before entrustment comes examination, and it begins with ours” (Section 8).</w:t>
      </w:r>
    </w:p>
    <w:p>
      <w:pPr>
        <w:pStyle w:val="ListParagraph"/>
        <w:numPr>
          <w:ilvl w:val="0"/>
          <w:numId w:val="2"/>
        </w:numPr>
        <w:spacing w:after="90" w:line="290"/>
      </w:pPr>
      <w:r>
        <w:rPr>
          <w:rFonts w:ascii="Calibri" w:cs="Calibri" w:eastAsia="Calibri" w:hAnsi="Calibri"/>
          <w:b/>
          <w:bCs/>
          <w:sz w:val="22"/>
          <w:szCs w:val="22"/>
        </w:rPr>
        <w:t xml:space="preserve">Opens the decision register</w:t>
      </w:r>
      <w:r>
        <w:rPr>
          <w:rFonts w:ascii="Calibri" w:cs="Calibri" w:eastAsia="Calibri" w:hAnsi="Calibri"/>
          <w:sz w:val="22"/>
          <w:szCs w:val="22"/>
        </w:rPr>
        <w:t xml:space="preserve"> — every point of difference between the five documents, as a council item with options (Section 9), and a term-sheet skeleton (Section 10).</w:t>
      </w:r>
    </w:p>
    <w:p>
      <w:pPr>
        <w:spacing w:after="140" w:line="300"/>
      </w:pPr>
      <w:r>
        <w:rPr>
          <w:rFonts w:ascii="Calibri" w:cs="Calibri" w:eastAsia="Calibri" w:hAnsi="Calibri"/>
          <w:i/>
          <w:iCs/>
          <w:sz w:val="22"/>
          <w:szCs w:val="22"/>
        </w:rPr>
        <w:t xml:space="preserve">A note on voice. </w:t>
      </w:r>
      <w:r>
        <w:rPr>
          <w:rFonts w:ascii="Calibri" w:cs="Calibri" w:eastAsia="Calibri" w:hAnsi="Calibri"/>
          <w:sz w:val="22"/>
          <w:szCs w:val="22"/>
        </w:rPr>
        <w:t xml:space="preserve">This is written in the language of infrastructure — layers, control planes, uptime, yield — because that is what Atmosphere is: distribution infrastructure, not a decoration concept. Experiences get admired; channels get built.</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Section 0 — framing</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1. Five documents, three doors, one floor</w:t>
      </w:r>
    </w:p>
    <w:p>
      <w:pPr>
        <w:spacing w:after="140" w:line="300"/>
      </w:pPr>
      <w:r>
        <w:rPr>
          <w:rFonts w:ascii="Calibri" w:cs="Calibri" w:eastAsia="Calibri" w:hAnsi="Calibri"/>
          <w:sz w:val="22"/>
          <w:szCs w:val="22"/>
        </w:rPr>
        <w:t xml:space="preserve">The council has five texts in front of it. Read as a set, they are not five positions; they are one floor reached through three doors, plus the operating manual for the floor and an internal note that sized the market. The differences between them are the council’s agenda.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3000"/>
        <w:gridCol w:w="2360"/>
      </w:tblGrid>
      <w:tr>
        <w:trPr>
          <w:tblHeader/>
        </w:trPr>
        <w:tc>
          <w:tcPr>
            <w:tcW w:type="dxa" w:w="20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Document</w:t>
            </w:r>
          </w:p>
        </w:tc>
        <w:tc>
          <w:tcPr>
            <w:tcW w:type="dxa" w:w="20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Audience</w:t>
            </w:r>
          </w:p>
        </w:tc>
        <w:tc>
          <w:tcPr>
            <w:tcW w:type="dxa" w:w="30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What it proposes</w:t>
            </w:r>
          </w:p>
        </w:tc>
        <w:tc>
          <w:tcPr>
            <w:tcW w:type="dxa" w:w="23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How the landlord appears</w:t>
            </w:r>
          </w:p>
        </w:tc>
      </w:tr>
      <w:tr>
        <w:trPr>
          <w:cantSplit/>
        </w:trPr>
        <w:tc>
          <w:tcPr>
            <w:tcW w:type="dxa" w:w="2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 · The Field Thesis (Jul 2026)</w:t>
            </w:r>
          </w:p>
        </w:tc>
        <w:tc>
          <w:tcPr>
            <w:tcW w:type="dxa" w:w="2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One U.S. ally — an operating company with a national field force</w:t>
            </w:r>
          </w:p>
        </w:tc>
        <w:tc>
          <w:tcPr>
            <w:tcW w:type="dxa" w:w="3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Vacant anchor boxes converted into venues where seven lines run as one P&amp;L, inside the first PEIT™</w:t>
            </w:r>
          </w:p>
        </w:tc>
        <w:tc>
          <w:tcPr>
            <w:tcW w:type="dxa" w:w="23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Holds 20% founding equity in place of rent</w:t>
            </w:r>
          </w:p>
        </w:tc>
      </w:tr>
      <w:tr>
        <w:trPr>
          <w:cantSplit/>
        </w:trPr>
        <w:tc>
          <w:tcPr>
            <w:tcW w:type="dxa" w:w="20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B · Third Place at Atmosphere (sponsor invitation)</w:t>
            </w:r>
          </w:p>
        </w:tc>
        <w:tc>
          <w:tcPr>
            <w:tcW w:type="dxa" w:w="20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 seed sponsor brand</w:t>
            </w:r>
          </w:p>
        </w:tc>
        <w:tc>
          <w:tcPr>
            <w:tcW w:type="dxa" w:w="30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The floor itself: Maya’s day, the four systems, seven lines, RevPAM (revenue per available metre), PEIT as REIT-plus-operator</w:t>
            </w:r>
          </w:p>
        </w:tc>
        <w:tc>
          <w:tcPr>
            <w:tcW w:type="dxa" w:w="23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Implicit; the venue is the product</w:t>
            </w:r>
          </w:p>
        </w:tc>
      </w:tr>
      <w:tr>
        <w:trPr>
          <w:cantSplit/>
        </w:trPr>
        <w:tc>
          <w:tcPr>
            <w:tcW w:type="dxa" w:w="2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 A Special Situation (Aug 2026)</w:t>
            </w:r>
          </w:p>
        </w:tc>
        <w:tc>
          <w:tcPr>
            <w:tcW w:type="dxa" w:w="2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 U.S. anchor sponsor for the founder’s venture</w:t>
            </w:r>
          </w:p>
        </w:tc>
        <w:tc>
          <w:tcPr>
            <w:tcW w:type="dxa" w:w="3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An NPL trade: buy the note or the box after the write-off; lay a credit-backed lease pool on top; exit through the lease</w:t>
            </w:r>
          </w:p>
        </w:tc>
        <w:tc>
          <w:tcPr>
            <w:tcW w:type="dxa" w:w="23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Not a partner — the box is bought from the servicer; the mall owner is the REA / co-tenancy counterparty</w:t>
            </w:r>
          </w:p>
        </w:tc>
      </w:tr>
      <w:tr>
        <w:trPr>
          <w:cantSplit/>
        </w:trPr>
        <w:tc>
          <w:tcPr>
            <w:tcW w:type="dxa" w:w="20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 · One Box (annex to C)</w:t>
            </w:r>
          </w:p>
        </w:tc>
        <w:tc>
          <w:tcPr>
            <w:tcW w:type="dxa" w:w="20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 credit reader</w:t>
            </w:r>
          </w:p>
        </w:tc>
        <w:tc>
          <w:tcPr>
            <w:tcW w:type="dxa" w:w="30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The seven lines sorted into three buckets: pledged, reserve, upside; ~40,000 sq ft box; RevPAM (revenue per available member); PropCo / OpCo / MemberCo; “no P&amp;L until the sponsor’s team is in the room”</w:t>
            </w:r>
          </w:p>
        </w:tc>
        <w:tc>
          <w:tcPr>
            <w:tcW w:type="dxa" w:w="23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Same as C</w:t>
            </w:r>
          </w:p>
        </w:tc>
      </w:tr>
      <w:tr>
        <w:trPr>
          <w:cantSplit/>
        </w:trPr>
        <w:tc>
          <w:tcPr>
            <w:tcW w:type="dxa" w:w="2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 REIT 2.0 (internal note)</w:t>
            </w:r>
          </w:p>
        </w:tc>
        <w:tc>
          <w:tcPr>
            <w:tcW w:type="dxa" w:w="2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Founders (Turkish)</w:t>
            </w:r>
          </w:p>
        </w:tc>
        <w:tc>
          <w:tcPr>
            <w:tcW w:type="dxa" w:w="3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Market sizing; CBL as first landlord; 40% landlord / 20% Capital Partner; floor guarantee; 90-day deployment; penetration scenarios</w:t>
            </w:r>
          </w:p>
        </w:tc>
        <w:tc>
          <w:tcPr>
            <w:tcW w:type="dxa" w:w="23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Holds 40% of PEIT Alliances Corp. via in-kind contribution</w:t>
            </w:r>
          </w:p>
        </w:tc>
      </w:tr>
    </w:tbl>
    <w:p>
      <w:pPr>
        <w:spacing w:after="120"/>
      </w:pPr>
    </w:p>
    <w:p>
      <w:pPr>
        <w:pStyle w:val="Heading2"/>
        <w:spacing w:after="120" w:before="260"/>
      </w:pPr>
      <w:r>
        <w:rPr>
          <w:rFonts w:ascii="Georgia" w:cs="Georgia" w:eastAsia="Georgia" w:hAnsi="Georgia"/>
          <w:b/>
          <w:bCs/>
          <w:color w:val="0F2A44"/>
          <w:sz w:val="26"/>
          <w:szCs w:val="26"/>
        </w:rPr>
        <w:t xml:space="preserve">1.1 The three doors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100"/>
        <w:gridCol w:w="2300"/>
        <w:gridCol w:w="1300"/>
        <w:gridCol w:w="2160"/>
      </w:tblGrid>
      <w:tr>
        <w:trPr>
          <w:tblHeader/>
        </w:trPr>
        <w:tc>
          <w:tcPr>
            <w:tcW w:type="dxa" w:w="15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Door</w:t>
            </w:r>
          </w:p>
        </w:tc>
        <w:tc>
          <w:tcPr>
            <w:tcW w:type="dxa" w:w="21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Who brings the ground</w:t>
            </w:r>
          </w:p>
        </w:tc>
        <w:tc>
          <w:tcPr>
            <w:tcW w:type="dxa" w:w="23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Landlord’s economic seat</w:t>
            </w:r>
          </w:p>
        </w:tc>
        <w:tc>
          <w:tcPr>
            <w:tcW w:type="dxa" w:w="13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Where the document says it</w:t>
            </w:r>
          </w:p>
        </w:tc>
        <w:tc>
          <w:tcPr>
            <w:tcW w:type="dxa" w:w="21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When it fits</w:t>
            </w:r>
          </w:p>
        </w:tc>
      </w:tr>
      <w:tr>
        <w:trPr>
          <w:cantSplit/>
        </w:trPr>
        <w:tc>
          <w:tcPr>
            <w:tcW w:type="dxa" w:w="1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Door 1 · Contribution</w:t>
            </w:r>
          </w:p>
        </w:tc>
        <w:tc>
          <w:tcPr>
            <w:tcW w:type="dxa" w:w="21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The mall owner contributes use rights in kind</w:t>
            </w:r>
          </w:p>
        </w:tc>
        <w:tc>
          <w:tcPr>
            <w:tcW w:type="dxa" w:w="2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Founding equity (20% in A; 40% in E) + rent floor guaranteed by operator</w:t>
            </w:r>
          </w:p>
        </w:tc>
        <w:tc>
          <w:tcPr>
            <w:tcW w:type="dxa" w:w="1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 E</w:t>
            </w:r>
          </w:p>
        </w:tc>
        <w:tc>
          <w:tcPr>
            <w:tcW w:type="dxa" w:w="21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Owner is solvent, wants to stay, cannot fund conversion; box is collateral or owner-controlled</w:t>
            </w:r>
          </w:p>
        </w:tc>
      </w:tr>
      <w:tr>
        <w:trPr>
          <w:cantSplit/>
        </w:trPr>
        <w:tc>
          <w:tcPr>
            <w:tcW w:type="dxa" w:w="1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Door 2 · Acquisition</w:t>
            </w:r>
          </w:p>
        </w:tc>
        <w:tc>
          <w:tcPr>
            <w:tcW w:type="dxa" w:w="21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The acquisition vehicle buys the note/REO/DPO from the special servicer</w:t>
            </w:r>
          </w:p>
        </w:tc>
        <w:tc>
          <w:tcPr>
            <w:tcW w:type="dxa" w:w="2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None — the mall owner is a counterparty (REA, co-tenancy, parking); the vehicle becomes the box’s landlord</w:t>
            </w:r>
          </w:p>
        </w:tc>
        <w:tc>
          <w:tcPr>
            <w:tcW w:type="dxa" w:w="1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D</w:t>
            </w:r>
          </w:p>
        </w:tc>
        <w:tc>
          <w:tcPr>
            <w:tcW w:type="dxa" w:w="21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Loan already written off; owner has walked or is walking; box is separately parceled</w:t>
            </w:r>
          </w:p>
        </w:tc>
      </w:tr>
      <w:tr>
        <w:trPr>
          <w:cantSplit/>
        </w:trPr>
        <w:tc>
          <w:tcPr>
            <w:tcW w:type="dxa" w:w="1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Door 3 · Sponsorship</w:t>
            </w:r>
          </w:p>
        </w:tc>
        <w:tc>
          <w:tcPr>
            <w:tcW w:type="dxa" w:w="21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Whoever holds the box under Door 1 or 2</w:t>
            </w:r>
          </w:p>
        </w:tc>
        <w:tc>
          <w:tcPr>
            <w:tcW w:type="dxa" w:w="2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Unchanged; the seed sponsor takes a 10% royalty and the name on the door</w:t>
            </w:r>
          </w:p>
        </w:tc>
        <w:tc>
          <w:tcPr>
            <w:tcW w:type="dxa" w:w="1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B</w:t>
            </w:r>
          </w:p>
        </w:tc>
        <w:tc>
          <w:tcPr>
            <w:tcW w:type="dxa" w:w="21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Layered on either door once the box is secured</w:t>
            </w:r>
          </w:p>
        </w:tc>
      </w:tr>
    </w:tbl>
    <w:p>
      <w:pPr>
        <w:spacing w:after="120"/>
      </w:pPr>
    </w:p>
    <w:p>
      <w:pPr>
        <w:keepNext/>
        <w:pBdr>
          <w:left w:val="single" w:color="1F6B3A" w:sz="24" w:space="8"/>
        </w:pBdr>
        <w:shd w:fill="FBF4EC" w:color="auto" w:val="clear"/>
        <w:spacing w:after="60" w:before="120" w:line="290"/>
        <w:ind w:left="200" w:right="200"/>
      </w:pPr>
      <w:r>
        <w:rPr>
          <w:rFonts w:ascii="Calibri" w:cs="Calibri" w:eastAsia="Calibri" w:hAnsi="Calibri"/>
          <w:b/>
          <w:bCs/>
          <w:caps/>
          <w:color w:val="1F6B3A"/>
          <w:spacing w:val="20"/>
          <w:sz w:val="20"/>
          <w:szCs w:val="20"/>
        </w:rPr>
        <w:t xml:space="preserve">Why this matters for the landlord chapter</w:t>
      </w:r>
    </w:p>
    <w:p>
      <w:pPr>
        <w:pBdr>
          <w:left w:val="single" w:color="1F6B3A" w:sz="24" w:space="8"/>
        </w:pBdr>
        <w:shd w:fill="FBF4EC" w:color="auto" w:val="clear"/>
        <w:spacing w:after="160" w:line="290"/>
        <w:ind w:left="200" w:right="200"/>
      </w:pPr>
      <w:r>
        <w:rPr>
          <w:rFonts w:ascii="Calibri" w:cs="Calibri" w:eastAsia="Calibri" w:hAnsi="Calibri"/>
          <w:sz w:val="21"/>
          <w:szCs w:val="21"/>
        </w:rPr>
        <w:t xml:space="preserve">The phrase “the landlord’s role” means two different things depending on the door. Under Door 1 the landlord is a founding shareholder; under Door 2 the landlord is the neighbour whose consents the vehicle needs. Both are real, both are in the documents, and the council should decide per asset — not per doctrine — which door applies. Section 5 therefore defines the role twice.</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Item 1.1 — three-door framing</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2. The substrate — field observation beside open source</w:t>
      </w:r>
    </w:p>
    <w:p>
      <w:pPr>
        <w:spacing w:after="140" w:line="300"/>
      </w:pPr>
      <w:r>
        <w:rPr>
          <w:rFonts w:ascii="Calibri" w:cs="Calibri" w:eastAsia="Calibri" w:hAnsi="Calibri"/>
          <w:sz w:val="22"/>
          <w:szCs w:val="22"/>
        </w:rPr>
        <w:t xml:space="preserve">Everything below was re-pulled on 30 August 2026 from primary or near-primary sources. Bracketed numbers refer to Appendix B. Where a figure comes from the ALA documents it is marked FIELD; the council can see at a glance which numbers the outside world will recognize and which are ours.</w:t>
      </w:r>
    </w:p>
    <w:p>
      <w:pPr>
        <w:pStyle w:val="Heading2"/>
        <w:spacing w:after="120" w:before="260"/>
      </w:pPr>
      <w:r>
        <w:rPr>
          <w:rFonts w:ascii="Georgia" w:cs="Georgia" w:eastAsia="Georgia" w:hAnsi="Georgia"/>
          <w:b/>
          <w:bCs/>
          <w:color w:val="0F2A44"/>
          <w:sz w:val="26"/>
          <w:szCs w:val="26"/>
        </w:rPr>
        <w:t xml:space="preserve">2.1 The wall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3300"/>
        <w:gridCol w:w="1800"/>
        <w:gridCol w:w="2560"/>
      </w:tblGrid>
      <w:tr>
        <w:trPr>
          <w:tblHeader/>
        </w:trPr>
        <w:tc>
          <w:tcPr>
            <w:tcW w:type="dxa" w:w="17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Fact</w:t>
            </w:r>
          </w:p>
        </w:tc>
        <w:tc>
          <w:tcPr>
            <w:tcW w:type="dxa" w:w="33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Open source</w:t>
            </w:r>
          </w:p>
        </w:tc>
        <w:tc>
          <w:tcPr>
            <w:tcW w:type="dxa" w:w="18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Field (ALA doc)</w:t>
            </w:r>
          </w:p>
        </w:tc>
        <w:tc>
          <w:tcPr>
            <w:tcW w:type="dxa" w:w="25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Read for the council</w:t>
            </w:r>
          </w:p>
        </w:tc>
      </w:tr>
      <w:tr>
        <w:trPr>
          <w:cantSplit/>
        </w:trPr>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CRE debt maturing</w:t>
            </w:r>
          </w:p>
        </w:tc>
        <w:tc>
          <w:tcPr>
            <w:tcW w:type="dxa" w:w="3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MBA: $875B in 2026 (17% of $5.0T), $652B in 2027; S&amp;P Global MI: $1.15T in 2026, peak $1.26T in 2027, &gt;$1T/yr through 2030 [1][2][3]</w:t>
            </w:r>
          </w:p>
        </w:tc>
        <w:tc>
          <w:tcPr>
            <w:tcW w:type="dxa" w:w="18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shows both series and explains the method gap correctly</w:t>
            </w:r>
          </w:p>
        </w:tc>
        <w:tc>
          <w:tcPr>
            <w:tcW w:type="dxa" w:w="25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Two credible series, same direction. C’s framing survives.</w:t>
            </w:r>
          </w:p>
        </w:tc>
      </w:tr>
      <w:tr>
        <w:trPr>
          <w:cantSplit/>
        </w:trPr>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How much actually pays off</w:t>
            </w:r>
          </w:p>
        </w:tc>
        <w:tc>
          <w:tcPr>
            <w:tcW w:type="dxa" w:w="3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Only 50–55% of the $957B scheduled for 2025 paid off; Morningstar DBRS: more than half of ~$100B securitized 2026 maturities unlikely to pay off at maturity vs &gt;80% payoff in 2023 [4][5]</w:t>
            </w:r>
          </w:p>
        </w:tc>
        <w:tc>
          <w:tcPr>
            <w:tcW w:type="dxa" w:w="18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w:t>
            </w:r>
          </w:p>
        </w:tc>
        <w:tc>
          <w:tcPr>
            <w:tcW w:type="dxa" w:w="25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The 2026 number is understated by carry-over; “extend and pretend” has become “resolve or reset.”</w:t>
            </w:r>
          </w:p>
        </w:tc>
      </w:tr>
      <w:tr>
        <w:trPr>
          <w:cantSplit/>
        </w:trPr>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CMBS hard maturities 2026</w:t>
            </w:r>
          </w:p>
        </w:tc>
        <w:tc>
          <w:tcPr>
            <w:tcW w:type="dxa" w:w="3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Trepp: $76.6B hard; $27.3B (36%) with debt yield ≤8% — the highest-risk bucket; 39% back-loaded to Q4 [6]</w:t>
            </w:r>
          </w:p>
        </w:tc>
        <w:tc>
          <w:tcPr>
            <w:tcW w:type="dxa" w:w="18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cites both figures</w:t>
            </w:r>
          </w:p>
        </w:tc>
        <w:tc>
          <w:tcPr>
            <w:tcW w:type="dxa" w:w="25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All property types, office and retail largest. Correct as stated in C.</w:t>
            </w:r>
          </w:p>
        </w:tc>
      </w:tr>
      <w:tr>
        <w:trPr>
          <w:cantSplit/>
        </w:trPr>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Retail CMBS delinquency</w:t>
            </w:r>
          </w:p>
        </w:tc>
        <w:tc>
          <w:tcPr>
            <w:tcW w:type="dxa" w:w="3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Trepp: 6.96% in July 2026; June’s rise driven by regional malls and outlet centers [7][8]</w:t>
            </w:r>
          </w:p>
        </w:tc>
        <w:tc>
          <w:tcPr>
            <w:tcW w:type="dxa" w:w="18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6.96%</w:t>
            </w:r>
          </w:p>
        </w:tc>
        <w:tc>
          <w:tcPr>
            <w:tcW w:type="dxa" w:w="25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Matches.</w:t>
            </w:r>
          </w:p>
        </w:tc>
      </w:tr>
      <w:tr>
        <w:trPr>
          <w:cantSplit/>
        </w:trPr>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Old paper vs new paper</w:t>
            </w:r>
          </w:p>
        </w:tc>
        <w:tc>
          <w:tcPr>
            <w:tcW w:type="dxa" w:w="3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Trepp: enclosed-mall CMBS loans written 2016 or earlier show 96.3% delinquency; 2017 and later near zero [9]</w:t>
            </w:r>
          </w:p>
        </w:tc>
        <w:tc>
          <w:tcPr>
            <w:tcW w:type="dxa" w:w="18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w:t>
            </w:r>
          </w:p>
        </w:tc>
        <w:tc>
          <w:tcPr>
            <w:tcW w:type="dxa" w:w="25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New evidence, not yet in any ALA document. One number proves “old paper is dead, new paper is A-only.”</w:t>
            </w:r>
          </w:p>
        </w:tc>
      </w:tr>
      <w:tr>
        <w:trPr>
          <w:cantSplit/>
        </w:trPr>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Who gets a mall loan</w:t>
            </w:r>
          </w:p>
        </w:tc>
        <w:tc>
          <w:tcPr>
            <w:tcW w:type="dxa" w:w="3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Class B regional malls “have virtually disappeared from new lending pipelines”; new CMBS goes to super-regional trophies (NorthPark $900M, International Plaza $575M) [10][11]</w:t>
            </w:r>
          </w:p>
        </w:tc>
        <w:tc>
          <w:tcPr>
            <w:tcW w:type="dxa" w:w="18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“A+ only; Class B/C outside the mandate”</w:t>
            </w:r>
          </w:p>
        </w:tc>
        <w:tc>
          <w:tcPr>
            <w:tcW w:type="dxa" w:w="25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Supported.</w:t>
            </w:r>
          </w:p>
        </w:tc>
      </w:tr>
    </w:tbl>
    <w:p>
      <w:pPr>
        <w:spacing w:after="120"/>
      </w:pPr>
    </w:p>
    <w:p>
      <w:pPr>
        <w:pStyle w:val="Heading2"/>
        <w:spacing w:after="120" w:before="260"/>
      </w:pPr>
      <w:r>
        <w:rPr>
          <w:rFonts w:ascii="Georgia" w:cs="Georgia" w:eastAsia="Georgia" w:hAnsi="Georgia"/>
          <w:b/>
          <w:bCs/>
          <w:color w:val="0F2A44"/>
          <w:sz w:val="26"/>
          <w:szCs w:val="26"/>
        </w:rPr>
        <w:t xml:space="preserve">2.2 The price of a dead box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3300"/>
        <w:gridCol w:w="1800"/>
        <w:gridCol w:w="2560"/>
      </w:tblGrid>
      <w:tr>
        <w:trPr>
          <w:tblHeader/>
        </w:trPr>
        <w:tc>
          <w:tcPr>
            <w:tcW w:type="dxa" w:w="17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Fact</w:t>
            </w:r>
          </w:p>
        </w:tc>
        <w:tc>
          <w:tcPr>
            <w:tcW w:type="dxa" w:w="33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Open source</w:t>
            </w:r>
          </w:p>
        </w:tc>
        <w:tc>
          <w:tcPr>
            <w:tcW w:type="dxa" w:w="18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Field (ALA doc)</w:t>
            </w:r>
          </w:p>
        </w:tc>
        <w:tc>
          <w:tcPr>
            <w:tcW w:type="dxa" w:w="25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Read for the council</w:t>
            </w:r>
          </w:p>
        </w:tc>
      </w:tr>
      <w:tr>
        <w:trPr>
          <w:cantSplit/>
        </w:trPr>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Pecanland Mall (Monroe, LA)</w:t>
            </w:r>
          </w:p>
        </w:tc>
        <w:tc>
          <w:tcPr>
            <w:tcW w:type="dxa" w:w="3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CREFC/Trepp: REO sold to Kohan May 2026; $54.45M realized loss; 80.9% severity on balance before disposition [12][13]</w:t>
            </w:r>
          </w:p>
        </w:tc>
        <w:tc>
          <w:tcPr>
            <w:tcW w:type="dxa" w:w="18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80.9%</w:t>
            </w:r>
          </w:p>
        </w:tc>
        <w:tc>
          <w:tcPr>
            <w:tcW w:type="dxa" w:w="25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Matches. This is the mall datapoint.</w:t>
            </w:r>
          </w:p>
        </w:tc>
      </w:tr>
      <w:tr>
        <w:trPr>
          <w:cantSplit/>
        </w:trPr>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May 2026 liquidations</w:t>
            </w:r>
          </w:p>
        </w:tc>
        <w:tc>
          <w:tcPr>
            <w:tcW w:type="dxa" w:w="3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Ten loans, $162.7M realized loss, 72.7% aggregate severity; seven of ten were office, including the two highest severities [12]</w:t>
            </w:r>
          </w:p>
        </w:tc>
        <w:tc>
          <w:tcPr>
            <w:tcW w:type="dxa" w:w="18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72.7% under “where retail sits inside the wall”</w:t>
            </w:r>
          </w:p>
        </w:tc>
        <w:tc>
          <w:tcPr>
            <w:tcW w:type="dxa" w:w="25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Council decision (Sept. 9): the number stays as a finding. Label: “all property types, office-led.” It proves the obsolescence pricing that Section 6 relies on.</w:t>
            </w:r>
          </w:p>
        </w:tc>
      </w:tr>
      <w:tr>
        <w:trPr>
          <w:cantSplit/>
        </w:trPr>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Mall values</w:t>
            </w:r>
          </w:p>
        </w:tc>
        <w:tc>
          <w:tcPr>
            <w:tcW w:type="dxa" w:w="3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Green Street: A-malls −45% vs 2016 peak; B/C −27%/−25% YoY at the trough; Macerich (May 2026): ~900 enclosed malls, 235 Class A [14][15][16]</w:t>
            </w:r>
          </w:p>
        </w:tc>
        <w:tc>
          <w:tcPr>
            <w:tcW w:type="dxa" w:w="18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“−15% to −70% since 2019 by class”</w:t>
            </w:r>
          </w:p>
        </w:tc>
        <w:tc>
          <w:tcPr>
            <w:tcW w:type="dxa" w:w="25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Re-base E to Green Street; direction identical.</w:t>
            </w:r>
          </w:p>
        </w:tc>
      </w:tr>
      <w:tr>
        <w:trPr>
          <w:cantSplit/>
        </w:trPr>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Class B/C condition</w:t>
            </w:r>
          </w:p>
        </w:tc>
        <w:tc>
          <w:tcPr>
            <w:tcW w:type="dxa" w:w="3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Green Street via CRE Daily: Class B traffic ~10% below 2019, occupancy 89%; Class C occupancy under 72%; B = ~28% of U.S. malls [17]</w:t>
            </w:r>
          </w:p>
        </w:tc>
        <w:tc>
          <w:tcPr>
            <w:tcW w:type="dxa" w:w="18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“occupancy 85%”</w:t>
            </w:r>
          </w:p>
        </w:tc>
        <w:tc>
          <w:tcPr>
            <w:tcW w:type="dxa" w:w="25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is close for B/C blended. Keep with the Green Street split.</w:t>
            </w:r>
          </w:p>
        </w:tc>
      </w:tr>
      <w:tr>
        <w:trPr>
          <w:cantSplit/>
        </w:trPr>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Anchors and closures</w:t>
            </w:r>
          </w:p>
        </w:tc>
        <w:tc>
          <w:tcPr>
            <w:tcW w:type="dxa" w:w="3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Sears ~3,500 → &lt;10; Macy’s 150 closures by 2026 ≈ 12M sq ft; 7,325 U.S. store closures in 2024; 123.7M sq ft closed in H1-2025 vs 74.5M opened [18][19][20]</w:t>
            </w:r>
          </w:p>
        </w:tc>
        <w:tc>
          <w:tcPr>
            <w:tcW w:type="dxa" w:w="18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1,460 dark anchors / 187.5M sq ft</w:t>
            </w:r>
          </w:p>
        </w:tc>
        <w:tc>
          <w:tcPr>
            <w:tcW w:type="dxa" w:w="25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E’s anchor count is unsourced; order of magnitude is plausible. Present as FIELD estimate with method, or use the sourced figures.</w:t>
            </w:r>
          </w:p>
        </w:tc>
      </w:tr>
      <w:tr>
        <w:trPr>
          <w:cantSplit/>
        </w:trPr>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Who can take 40k+ sq ft</w:t>
            </w:r>
          </w:p>
        </w:tc>
        <w:tc>
          <w:tcPr>
            <w:tcW w:type="dxa" w:w="3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 smaller pool of tenants capable of absorbing 40,000 sq ft or more”; anchors take longest to convert [18]</w:t>
            </w:r>
          </w:p>
        </w:tc>
        <w:tc>
          <w:tcPr>
            <w:tcW w:type="dxa" w:w="18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 unit = one ~40,000 sq ft box</w:t>
            </w:r>
          </w:p>
        </w:tc>
        <w:tc>
          <w:tcPr>
            <w:tcW w:type="dxa" w:w="25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D’s unit is exactly the space the backfill market cannot absorb.</w:t>
            </w:r>
          </w:p>
        </w:tc>
      </w:tr>
    </w:tbl>
    <w:p>
      <w:pPr>
        <w:spacing w:after="120"/>
      </w:pPr>
    </w:p>
    <w:p>
      <w:pPr>
        <w:pStyle w:val="Heading2"/>
        <w:spacing w:after="120" w:before="260"/>
      </w:pPr>
      <w:r>
        <w:rPr>
          <w:rFonts w:ascii="Georgia" w:cs="Georgia" w:eastAsia="Georgia" w:hAnsi="Georgia"/>
          <w:b/>
          <w:bCs/>
          <w:color w:val="0F2A44"/>
          <w:sz w:val="26"/>
          <w:szCs w:val="26"/>
        </w:rPr>
        <w:t xml:space="preserve">2.3 The audience — a correction the council should own</w:t>
      </w:r>
    </w:p>
    <w:p>
      <w:pPr>
        <w:spacing w:after="140" w:line="300"/>
      </w:pPr>
      <w:r>
        <w:rPr>
          <w:rFonts w:ascii="Calibri" w:cs="Calibri" w:eastAsia="Calibri" w:hAnsi="Calibri"/>
          <w:b/>
          <w:bCs/>
          <w:sz w:val="22"/>
          <w:szCs w:val="22"/>
        </w:rPr>
        <w:t xml:space="preserve">Field observation vs open source diverge here, and the divergence is useful.</w:t>
      </w:r>
      <w:r>
        <w:rPr>
          <w:rFonts w:ascii="Calibri" w:cs="Calibri" w:eastAsia="Calibri" w:hAnsi="Calibri"/>
          <w:sz w:val="22"/>
          <w:szCs w:val="22"/>
        </w:rPr>
        <w:t xml:space="preserve"> The internal note (E) says foot traffic is down 40% versus 2019 and dwell time has nearly halved. Open data says something more precise, and more useful to both Door 1 and Door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3300"/>
        <w:gridCol w:w="1800"/>
        <w:gridCol w:w="2560"/>
      </w:tblGrid>
      <w:tr>
        <w:trPr>
          <w:tblHeader/>
        </w:trPr>
        <w:tc>
          <w:tcPr>
            <w:tcW w:type="dxa" w:w="17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Fact</w:t>
            </w:r>
          </w:p>
        </w:tc>
        <w:tc>
          <w:tcPr>
            <w:tcW w:type="dxa" w:w="33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Open source</w:t>
            </w:r>
          </w:p>
        </w:tc>
        <w:tc>
          <w:tcPr>
            <w:tcW w:type="dxa" w:w="18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Field (ALA doc)</w:t>
            </w:r>
          </w:p>
        </w:tc>
        <w:tc>
          <w:tcPr>
            <w:tcW w:type="dxa" w:w="25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Read for the council</w:t>
            </w:r>
          </w:p>
        </w:tc>
      </w:tr>
      <w:tr>
        <w:trPr>
          <w:cantSplit/>
        </w:trPr>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Top-tier indoor malls</w:t>
            </w:r>
          </w:p>
        </w:tc>
        <w:tc>
          <w:tcPr>
            <w:tcW w:type="dxa" w:w="3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Placer.ai: Q2-2025 visits 1.1% below Q2-2019; YoY gains all four quarters of 2025; Feb-2026 +5% YoY [21][22][23]</w:t>
            </w:r>
          </w:p>
        </w:tc>
        <w:tc>
          <w:tcPr>
            <w:tcW w:type="dxa" w:w="18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−40% vs 2019</w:t>
            </w:r>
          </w:p>
        </w:tc>
        <w:tc>
          <w:tcPr>
            <w:tcW w:type="dxa" w:w="25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At the top, the audience came back. E’s figure does not survive.</w:t>
            </w:r>
          </w:p>
        </w:tc>
      </w:tr>
      <w:tr>
        <w:trPr>
          <w:cantSplit/>
        </w:trPr>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Class B / C malls</w:t>
            </w:r>
          </w:p>
        </w:tc>
        <w:tc>
          <w:tcPr>
            <w:tcW w:type="dxa" w:w="3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Green Street: B ~10% below 2019 traffic; C losing occupancy [17]</w:t>
            </w:r>
          </w:p>
        </w:tc>
        <w:tc>
          <w:tcPr>
            <w:tcW w:type="dxa" w:w="18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w:t>
            </w:r>
          </w:p>
        </w:tc>
        <w:tc>
          <w:tcPr>
            <w:tcW w:type="dxa" w:w="25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At the bottom, it did not. This is the Door 2 universe.</w:t>
            </w:r>
          </w:p>
        </w:tc>
      </w:tr>
      <w:tr>
        <w:trPr>
          <w:cantSplit/>
        </w:trPr>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Dwell</w:t>
            </w:r>
          </w:p>
        </w:tc>
        <w:tc>
          <w:tcPr>
            <w:tcW w:type="dxa" w:w="33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Median indoor visit ≈ 61 min; duration +3.3% YoY in H1-2025 [24]</w:t>
            </w:r>
          </w:p>
        </w:tc>
        <w:tc>
          <w:tcPr>
            <w:tcW w:type="dxa" w:w="18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78 → 42 min</w:t>
            </w:r>
          </w:p>
        </w:tc>
        <w:tc>
          <w:tcPr>
            <w:tcW w:type="dxa" w:w="25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Drop E’s figure. Time is on the floor; it is not priced.</w:t>
            </w:r>
          </w:p>
        </w:tc>
      </w:tr>
      <w:tr>
        <w:trPr>
          <w:cantSplit/>
        </w:trPr>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Occupancy at a B-mall REIT</w:t>
            </w:r>
          </w:p>
        </w:tc>
        <w:tc>
          <w:tcPr>
            <w:tcW w:type="dxa" w:w="33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CBL: 90.5% occupancy (Mar-2026); same-center NOI guided 0–1.5% for 2026; 85 properties / 54.8M sq ft (Q2-2026) [25][26]</w:t>
            </w:r>
          </w:p>
        </w:tc>
        <w:tc>
          <w:tcPr>
            <w:tcW w:type="dxa" w:w="18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 89 properties / 55.4M sq ft</w:t>
            </w:r>
          </w:p>
        </w:tc>
        <w:tc>
          <w:tcPr>
            <w:tcW w:type="dxa" w:w="25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Update E. High occupancy, low velocity: full box, one line.</w:t>
            </w:r>
          </w:p>
        </w:tc>
      </w:tr>
    </w:tbl>
    <w:p>
      <w:pPr>
        <w:spacing w:after="120"/>
      </w:pPr>
    </w:p>
    <w:p>
      <w:pPr>
        <w:keepNext/>
        <w:pBdr>
          <w:left w:val="single" w:color="1F6B3A" w:sz="24" w:space="8"/>
        </w:pBdr>
        <w:shd w:fill="FBF4EC" w:color="auto" w:val="clear"/>
        <w:spacing w:after="60" w:before="120" w:line="290"/>
        <w:ind w:left="200" w:right="200"/>
      </w:pPr>
      <w:r>
        <w:rPr>
          <w:rFonts w:ascii="Calibri" w:cs="Calibri" w:eastAsia="Calibri" w:hAnsi="Calibri"/>
          <w:b/>
          <w:bCs/>
          <w:caps/>
          <w:color w:val="1F6B3A"/>
          <w:spacing w:val="20"/>
          <w:sz w:val="20"/>
          <w:szCs w:val="20"/>
        </w:rPr>
        <w:t xml:space="preserve">Why the correction strengthens both doors</w:t>
      </w:r>
    </w:p>
    <w:p>
      <w:pPr>
        <w:pBdr>
          <w:left w:val="single" w:color="1F6B3A" w:sz="24" w:space="8"/>
        </w:pBdr>
        <w:shd w:fill="FBF4EC" w:color="auto" w:val="clear"/>
        <w:spacing w:after="160" w:line="290"/>
        <w:ind w:left="200" w:right="200"/>
      </w:pPr>
      <w:r>
        <w:rPr>
          <w:rFonts w:ascii="Calibri" w:cs="Calibri" w:eastAsia="Calibri" w:hAnsi="Calibri"/>
          <w:sz w:val="21"/>
          <w:szCs w:val="21"/>
        </w:rPr>
        <w:t xml:space="preserve">Door 1 (contribution) works where the audience is present and measured — the top-tier box: a monetization bet on captive throughput, the wager airports won against street furniture. Door 2 (acquisition) works where the audience has thinned and the loan is written off — the Class B/C box: an NPL bet where the operator, not the mall, is the source of value. One correction, two doors, no hole.</w:t>
      </w:r>
    </w:p>
    <w:p>
      <w:pPr>
        <w:pStyle w:val="Heading2"/>
        <w:spacing w:after="120" w:before="260"/>
      </w:pPr>
      <w:r>
        <w:rPr>
          <w:rFonts w:ascii="Georgia" w:cs="Georgia" w:eastAsia="Georgia" w:hAnsi="Georgia"/>
          <w:b/>
          <w:bCs/>
          <w:color w:val="0F2A44"/>
          <w:sz w:val="26"/>
          <w:szCs w:val="26"/>
        </w:rPr>
        <w:t xml:space="preserve">2.4 The money looking for the floor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4100"/>
        <w:gridCol w:w="3360"/>
      </w:tblGrid>
      <w:tr>
        <w:trPr>
          <w:tblHeader/>
        </w:trPr>
        <w:tc>
          <w:tcPr>
            <w:tcW w:type="dxa" w:w="19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Fact</w:t>
            </w:r>
          </w:p>
        </w:tc>
        <w:tc>
          <w:tcPr>
            <w:tcW w:type="dxa" w:w="41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Open source</w:t>
            </w:r>
          </w:p>
        </w:tc>
        <w:tc>
          <w:tcPr>
            <w:tcW w:type="dxa" w:w="33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Read for the council</w:t>
            </w:r>
          </w:p>
        </w:tc>
      </w:tr>
      <w:tr>
        <w:trPr>
          <w:cantSplit/>
        </w:trPr>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U.S. retail media</w:t>
            </w:r>
          </w:p>
        </w:tc>
        <w:tc>
          <w:tcPr>
            <w:tcW w:type="dxa" w:w="41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$71–73B in 2026, +18–20% YoY; Amazon + Walmart ≈ 88% of it [27][28]</w:t>
            </w:r>
          </w:p>
        </w:tc>
        <w:tc>
          <w:tcPr>
            <w:tcW w:type="dxa" w:w="33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 $70B pool two companies own — except on the physical floor.</w:t>
            </w:r>
          </w:p>
        </w:tc>
      </w:tr>
      <w:tr>
        <w:trPr>
          <w:cantSplit/>
        </w:trPr>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In-store retail media</w:t>
            </w:r>
          </w:p>
        </w:tc>
        <w:tc>
          <w:tcPr>
            <w:tcW w:type="dxa" w:w="41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+33% in 2026 but under 1% of the pool; 80% of consumer spending is in-store while ~90% of retail media is online [27][29]</w:t>
            </w:r>
          </w:p>
        </w:tc>
        <w:tc>
          <w:tcPr>
            <w:tcW w:type="dxa" w:w="33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The single largest mismatch in American advertising. The floor is unsold inventory; Bucket 1 line 03 in One Box is where it lands.</w:t>
            </w:r>
          </w:p>
        </w:tc>
      </w:tr>
      <w:tr>
        <w:trPr>
          <w:cantSplit/>
        </w:trPr>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Specialty leasing today</w:t>
            </w:r>
          </w:p>
        </w:tc>
        <w:tc>
          <w:tcPr>
            <w:tcW w:type="dxa" w:w="41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 couple of percentage points of NOI” (Kimco); Crown American added 5% of revenue from temp/specialty leasing in 2001 [30][31]</w:t>
            </w:r>
          </w:p>
        </w:tc>
        <w:tc>
          <w:tcPr>
            <w:tcW w:type="dxa" w:w="33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The landlord already books “the street.” Smallest, least-managed line on the P&amp;L.</w:t>
            </w:r>
          </w:p>
        </w:tc>
      </w:tr>
      <w:tr>
        <w:trPr>
          <w:cantSplit/>
        </w:trPr>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Landlords already take equity for occupancy</w:t>
            </w:r>
          </w:p>
        </w:tc>
        <w:tc>
          <w:tcPr>
            <w:tcW w:type="dxa" w:w="41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Simon &amp; Brookfield bought JCPenney out of Ch. 11 ($1B credit bid + $300M cash); Simon reports a 9× gain on its ABG stake [32][33]</w:t>
            </w:r>
          </w:p>
        </w:tc>
        <w:tc>
          <w:tcPr>
            <w:tcW w:type="dxa" w:w="33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Door 1 is precedent, not novelty — but the precedent bought yesterday’s format.</w:t>
            </w:r>
          </w:p>
        </w:tc>
      </w:tr>
      <w:tr>
        <w:trPr>
          <w:cantSplit/>
        </w:trPr>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Landlord going it alone</w:t>
            </w:r>
          </w:p>
        </w:tc>
        <w:tc>
          <w:tcPr>
            <w:tcW w:type="dxa" w:w="41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Seritage needed ~$2.7–3B to redevelop 20M sq ft (~$135–150 psf); liquidating since 2022 [34][35]</w:t>
            </w:r>
          </w:p>
        </w:tc>
        <w:tc>
          <w:tcPr>
            <w:tcW w:type="dxa" w:w="33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Capex-heavy conversion on the owner’s balance sheet has already failed as a public strategy.</w:t>
            </w:r>
          </w:p>
        </w:tc>
      </w:tr>
      <w:tr>
        <w:trPr>
          <w:cantSplit/>
        </w:trPr>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Media as a standalone</w:t>
            </w:r>
          </w:p>
        </w:tc>
        <w:tc>
          <w:tcPr>
            <w:tcW w:type="dxa" w:w="41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Volta: $2B SPAC → $169M sale to Shell → media division shuttered [36][37]</w:t>
            </w:r>
          </w:p>
        </w:tc>
        <w:tc>
          <w:tcPr>
            <w:tcW w:type="dxa" w:w="33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Threshold lines are bonus lines. One Box already sorts them into Bucket 3.</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Section 2 — substrate tables</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3. The stack — where the landlord sits</w:t>
      </w:r>
    </w:p>
    <w:p>
      <w:pPr>
        <w:spacing w:after="140" w:line="300"/>
      </w:pPr>
      <w:r>
        <w:rPr>
          <w:rFonts w:ascii="Calibri" w:cs="Calibri" w:eastAsia="Calibri" w:hAnsi="Calibri"/>
          <w:sz w:val="22"/>
          <w:szCs w:val="22"/>
        </w:rPr>
        <w:t xml:space="preserve">Read Atmosphere as an infra stack and the landlord’s position is obvious. In every stack the physical layer is the cheapest to own per unit of throughput and the most expensive to replace. Nobody builds a hyperscale datacenter to prove a software thesis; they lease the shell and own the control plane. The landlord is bare metal.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700"/>
        <w:gridCol w:w="1900"/>
        <w:gridCol w:w="3260"/>
      </w:tblGrid>
      <w:tr>
        <w:trPr>
          <w:tblHeader/>
        </w:trPr>
        <w:tc>
          <w:tcPr>
            <w:tcW w:type="dxa" w:w="15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Layer</w:t>
            </w:r>
          </w:p>
        </w:tc>
        <w:tc>
          <w:tcPr>
            <w:tcW w:type="dxa" w:w="27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Component</w:t>
            </w:r>
          </w:p>
        </w:tc>
        <w:tc>
          <w:tcPr>
            <w:tcW w:type="dxa" w:w="19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Who owns it</w:t>
            </w:r>
          </w:p>
        </w:tc>
        <w:tc>
          <w:tcPr>
            <w:tcW w:type="dxa" w:w="32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What it does</w:t>
            </w:r>
          </w:p>
        </w:tc>
      </w:tr>
      <w:tr>
        <w:trPr>
          <w:cantSplit/>
        </w:trPr>
        <w:tc>
          <w:tcPr>
            <w:tcW w:type="dxa" w:w="1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L6 · Demand</w:t>
            </w:r>
          </w:p>
        </w:tc>
        <w:tc>
          <w:tcPr>
            <w:tcW w:type="dxa" w:w="2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Makers, DTC brands, international brands entering the U.S., creators, sponsors, field armies</w:t>
            </w:r>
          </w:p>
        </w:tc>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Open market</w:t>
            </w:r>
          </w:p>
        </w:tc>
        <w:tc>
          <w:tcPr>
            <w:tcW w:type="dxa" w:w="32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The tenants of a channel that did not exist: priced out of chains (channel one), taxed out of marketplaces (channel two).</w:t>
            </w:r>
          </w:p>
        </w:tc>
      </w:tr>
      <w:tr>
        <w:trPr>
          <w:cantSplit/>
        </w:trPr>
        <w:tc>
          <w:tcPr>
            <w:tcW w:type="dxa" w:w="1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L5 · Capital wrapper</w:t>
            </w:r>
          </w:p>
        </w:tc>
        <w:tc>
          <w:tcPr>
            <w:tcW w:type="dxa" w:w="2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PEIT™ (Door 1) or PropCo / OpCo / MemberCo + lease pool (Door 2)</w:t>
            </w:r>
          </w:p>
        </w:tc>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Landlord / vehicle, Capital Partner, Operator</w:t>
            </w:r>
          </w:p>
        </w:tc>
        <w:tc>
          <w:tcPr>
            <w:tcW w:type="dxa" w:w="32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Owner brings the asset; operator runs the P&amp;L; capital funds fit-out; credit-enhanced leases carry the exit.</w:t>
            </w:r>
          </w:p>
        </w:tc>
      </w:tr>
      <w:tr>
        <w:trPr>
          <w:cantSplit/>
        </w:trPr>
        <w:tc>
          <w:tcPr>
            <w:tcW w:type="dxa" w:w="1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L4 · Yield</w:t>
            </w:r>
          </w:p>
        </w:tc>
        <w:tc>
          <w:tcPr>
            <w:tcW w:type="dxa" w:w="2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Fifth Signal™</w:t>
            </w:r>
          </w:p>
        </w:tc>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ALA IP</w:t>
            </w:r>
          </w:p>
        </w:tc>
        <w:tc>
          <w:tcPr>
            <w:tcW w:type="dxa" w:w="32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Forecasts footfall and demand; prices tables and screen slots the way a hotel prices rooms.</w:t>
            </w:r>
          </w:p>
        </w:tc>
      </w:tr>
      <w:tr>
        <w:trPr>
          <w:cantSplit/>
        </w:trPr>
        <w:tc>
          <w:tcPr>
            <w:tcW w:type="dxa" w:w="1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L3 · Media</w:t>
            </w:r>
          </w:p>
        </w:tc>
        <w:tc>
          <w:tcPr>
            <w:tcW w:type="dxa" w:w="2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PingPod™</w:t>
            </w:r>
          </w:p>
        </w:tc>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ALA IP</w:t>
            </w:r>
          </w:p>
        </w:tc>
        <w:tc>
          <w:tcPr>
            <w:tcW w:type="dxa" w:w="32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Schedules and monetizes the screen grid by zone and hour — the last 30 meters no DOOH or online giant can own.</w:t>
            </w:r>
          </w:p>
        </w:tc>
      </w:tr>
      <w:tr>
        <w:trPr>
          <w:cantSplit/>
        </w:trPr>
        <w:tc>
          <w:tcPr>
            <w:tcW w:type="dxa" w:w="1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L2 · Matching</w:t>
            </w:r>
          </w:p>
        </w:tc>
        <w:tc>
          <w:tcPr>
            <w:tcW w:type="dxa" w:w="2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HuxNet™</w:t>
            </w:r>
          </w:p>
        </w:tc>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ALA IP</w:t>
            </w:r>
          </w:p>
        </w:tc>
        <w:tc>
          <w:tcPr>
            <w:tcW w:type="dxa" w:w="32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Opt-in, privacy-first: footfall becomes relevant encounters.</w:t>
            </w:r>
          </w:p>
        </w:tc>
      </w:tr>
      <w:tr>
        <w:trPr>
          <w:cantSplit/>
        </w:trPr>
        <w:tc>
          <w:tcPr>
            <w:tcW w:type="dxa" w:w="1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L1 · Venue OS</w:t>
            </w:r>
          </w:p>
        </w:tc>
        <w:tc>
          <w:tcPr>
            <w:tcW w:type="dxa" w:w="2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OffNdOn™</w:t>
            </w:r>
          </w:p>
        </w:tc>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ALA IP</w:t>
            </w:r>
          </w:p>
        </w:tc>
        <w:tc>
          <w:tcPr>
            <w:tcW w:type="dxa" w:w="32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Books, assigns, powers and lights every module in real time.</w:t>
            </w:r>
          </w:p>
        </w:tc>
      </w:tr>
      <w:tr>
        <w:trPr>
          <w:cantSplit/>
        </w:trPr>
        <w:tc>
          <w:tcPr>
            <w:tcW w:type="dxa" w:w="15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L0 · Ground</w:t>
            </w:r>
          </w:p>
        </w:tc>
        <w:tc>
          <w:tcPr>
            <w:tcW w:type="dxa" w:w="27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Anchor box, corridors, parking lot, REA/co-tenancy web, lender relationship, municipal standing</w:t>
            </w:r>
          </w:p>
        </w:tc>
        <w:tc>
          <w:tcPr>
            <w:tcW w:type="dxa" w:w="19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B5651D"/>
                <w:sz w:val="19"/>
                <w:szCs w:val="19"/>
              </w:rPr>
              <w:t xml:space="preserve">LANDLORD (Door 1) / VEHICLE + MALL OWNER (Door 2)</w:t>
            </w:r>
          </w:p>
        </w:tc>
        <w:tc>
          <w:tcPr>
            <w:tcW w:type="dxa" w:w="326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Cannot be rented from a cloud provider. Without it nothing runs; with it alone nothing earns beyond rent.</w:t>
            </w:r>
          </w:p>
        </w:tc>
      </w:tr>
    </w:tbl>
    <w:p>
      <w:pPr>
        <w:spacing w:after="120"/>
      </w:pPr>
    </w:p>
    <w:p>
      <w:pPr>
        <w:pStyle w:val="ListParagraph"/>
        <w:numPr>
          <w:ilvl w:val="0"/>
          <w:numId w:val="3"/>
        </w:numPr>
        <w:spacing w:after="90" w:line="290"/>
      </w:pPr>
      <w:r>
        <w:rPr>
          <w:rFonts w:ascii="Calibri" w:cs="Calibri" w:eastAsia="Calibri" w:hAnsi="Calibri"/>
          <w:b/>
          <w:bCs/>
          <w:sz w:val="22"/>
          <w:szCs w:val="22"/>
        </w:rPr>
        <w:t xml:space="preserve">The landlord cannot build L1–L4.</w:t>
      </w:r>
      <w:r>
        <w:rPr>
          <w:rFonts w:ascii="Calibri" w:cs="Calibri" w:eastAsia="Calibri" w:hAnsi="Calibri"/>
          <w:sz w:val="22"/>
          <w:szCs w:val="22"/>
        </w:rPr>
        <w:t xml:space="preserve"> Not for lack of intelligence — for lack of permission. Lenders demand credit tenants, REIT metrics reward the identical mix, franchise manuals standardize the architecture. Uniformity is enforced by underwriting.</w:t>
      </w:r>
    </w:p>
    <w:p>
      <w:pPr>
        <w:pStyle w:val="ListParagraph"/>
        <w:numPr>
          <w:ilvl w:val="0"/>
          <w:numId w:val="3"/>
        </w:numPr>
        <w:spacing w:after="90" w:line="290"/>
      </w:pPr>
      <w:r>
        <w:rPr>
          <w:rFonts w:ascii="Calibri" w:cs="Calibri" w:eastAsia="Calibri" w:hAnsi="Calibri"/>
          <w:b/>
          <w:bCs/>
          <w:sz w:val="22"/>
          <w:szCs w:val="22"/>
        </w:rPr>
        <w:t xml:space="preserve">The operator cannot run without L0.</w:t>
      </w:r>
      <w:r>
        <w:rPr>
          <w:rFonts w:ascii="Calibri" w:cs="Calibri" w:eastAsia="Calibri" w:hAnsi="Calibri"/>
          <w:sz w:val="22"/>
          <w:szCs w:val="22"/>
        </w:rPr>
        <w:t xml:space="preserve"> Every asset-heavy operator that tried to own or lease its way onto the ground — Volta on the lot, WeWork on the floor, Seritage on the Sears box — paid full price. Every asset-light operator that partnered with the owner — Industrious, hotel managers — was bought or is standing.</w:t>
      </w:r>
    </w:p>
    <w:p>
      <w:pPr>
        <w:spacing w:after="140" w:line="300"/>
      </w:pPr>
      <w:r>
        <w:rPr>
          <w:rFonts w:ascii="Calibri" w:cs="Calibri" w:eastAsia="Calibri" w:hAnsi="Calibri"/>
          <w:b/>
          <w:bCs/>
          <w:sz w:val="22"/>
          <w:szCs w:val="22"/>
        </w:rPr>
        <w:t xml:space="preserve">The trade is therefore not “rent versus equity.” It is “ground for control plane.”</w:t>
      </w:r>
      <w:r>
        <w:rPr>
          <w:rFonts w:ascii="Calibri" w:cs="Calibri" w:eastAsia="Calibri" w:hAnsi="Calibri"/>
          <w:sz w:val="22"/>
          <w:szCs w:val="22"/>
        </w:rPr>
        <w:t xml:space="preserve"> Under Door 1 the landlord trades use rights for a share of the control plane. Under Door 2 the vehicle buys the ground at the market’s write-off price and brings the control plane itself.</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Section 3 — stack framing</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pPr>
        <w:pStyle w:val="Heading1"/>
        <w:pBdr>
          <w:bottom w:val="single" w:color="B5651D" w:sz="6" w:space="4"/>
        </w:pBdr>
        <w:spacing w:after="180" w:before="360"/>
      </w:pPr>
      <w:r>
        <w:rPr>
          <w:rFonts w:ascii="Georgia" w:cs="Georgia" w:eastAsia="Georgia" w:hAnsi="Georgia"/>
          <w:b/>
          <w:bCs/>
          <w:color w:val="0F2A44"/>
          <w:sz w:val="34"/>
          <w:szCs w:val="34"/>
        </w:rPr>
        <w:t xml:space="preserve">4. Where the landlord stands today — the one-line P&amp;L</w:t>
      </w:r>
    </w:p>
    <w:p>
      <w:pPr>
        <w:spacing w:after="140" w:line="300"/>
      </w:pPr>
      <w:r>
        <w:rPr>
          <w:rFonts w:ascii="Calibri" w:cs="Calibri" w:eastAsia="Calibri" w:hAnsi="Calibri"/>
          <w:sz w:val="22"/>
          <w:szCs w:val="22"/>
        </w:rPr>
        <w:t xml:space="preserve">Strip a mall’s income statement to its primitives and one revenue line matters: minimum rent, plus recoveries that are pass-throughs. A dark anchor box is not a zero — it is a cost center: carry on an unlit 100,000–200,000 sq ft shell; co-tenancy leakage as inline tenants cut rent or go dark; lender covenants that turn a leasing problem into a refinancing problem at maturity; and, often, non-collateral status — the box belongs to the department store, not the mall [38].</w:t>
      </w:r>
    </w:p>
    <w:p>
      <w:pPr>
        <w:pStyle w:val="Heading2"/>
        <w:spacing w:after="120" w:before="260"/>
      </w:pPr>
      <w:r>
        <w:rPr>
          <w:rFonts w:ascii="Georgia" w:cs="Georgia" w:eastAsia="Georgia" w:hAnsi="Georgia"/>
          <w:b/>
          <w:bCs/>
          <w:color w:val="0F2A44"/>
          <w:sz w:val="26"/>
          <w:szCs w:val="26"/>
        </w:rPr>
        <w:t xml:space="preserve">4.1 Four answers and their scoreboard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2700"/>
        <w:gridCol w:w="2160"/>
      </w:tblGrid>
      <w:tr>
        <w:trPr>
          <w:tblHeader/>
        </w:trPr>
        <w:tc>
          <w:tcPr>
            <w:tcW w:type="dxa" w:w="20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Answer</w:t>
            </w:r>
          </w:p>
        </w:tc>
        <w:tc>
          <w:tcPr>
            <w:tcW w:type="dxa" w:w="25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What it is</w:t>
            </w:r>
          </w:p>
        </w:tc>
        <w:tc>
          <w:tcPr>
            <w:tcW w:type="dxa" w:w="27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Scoreboard</w:t>
            </w:r>
          </w:p>
        </w:tc>
        <w:tc>
          <w:tcPr>
            <w:tcW w:type="dxa" w:w="21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Verdict</w:t>
            </w:r>
          </w:p>
        </w:tc>
      </w:tr>
      <w:tr>
        <w:trPr>
          <w:cantSplit/>
        </w:trPr>
        <w:tc>
          <w:tcPr>
            <w:tcW w:type="dxa" w:w="2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 · Backfill with a credit tenant</w:t>
            </w:r>
          </w:p>
        </w:tc>
        <w:tc>
          <w:tcPr>
            <w:tcW w:type="dxa" w:w="2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Fitness, grocer, furniture, entertainment taking 40k+ sq ft</w:t>
            </w:r>
          </w:p>
        </w:tc>
        <w:tc>
          <w:tcPr>
            <w:tcW w:type="dxa" w:w="2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Works for the best boxes; the pool of takers is thin [18]</w:t>
            </w:r>
          </w:p>
        </w:tc>
        <w:tc>
          <w:tcPr>
            <w:tcW w:type="dxa" w:w="21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Necessary, not sufficient. Leaves the P&amp;L on one line.</w:t>
            </w:r>
          </w:p>
        </w:tc>
      </w:tr>
      <w:tr>
        <w:trPr>
          <w:cantSplit/>
        </w:trPr>
        <w:tc>
          <w:tcPr>
            <w:tcW w:type="dxa" w:w="20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B · Redevelop on own balance sheet</w:t>
            </w:r>
          </w:p>
        </w:tc>
        <w:tc>
          <w:tcPr>
            <w:tcW w:type="dxa" w:w="2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Subdivide, re-façade, add residential; fund with debt and asset sales</w:t>
            </w:r>
          </w:p>
        </w:tc>
        <w:tc>
          <w:tcPr>
            <w:tcW w:type="dxa" w:w="2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Seritage — the best-financed attempt — liquidating [34][35]</w:t>
            </w:r>
          </w:p>
        </w:tc>
        <w:tc>
          <w:tcPr>
            <w:tcW w:type="dxa" w:w="21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Does not survive a 7% cost of capital.</w:t>
            </w:r>
          </w:p>
        </w:tc>
      </w:tr>
      <w:tr>
        <w:trPr>
          <w:cantSplit/>
        </w:trPr>
        <w:tc>
          <w:tcPr>
            <w:tcW w:type="dxa" w:w="2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 · Buy the tenant</w:t>
            </w:r>
          </w:p>
        </w:tc>
        <w:tc>
          <w:tcPr>
            <w:tcW w:type="dxa" w:w="2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Equity in the operating business to preserve the anchor</w:t>
            </w:r>
          </w:p>
        </w:tc>
        <w:tc>
          <w:tcPr>
            <w:tcW w:type="dxa" w:w="2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Simon/Brookfield/ABG: JCPenney, Forever 21, Brooks Brothers; ABG stake 9× [32][33]</w:t>
            </w:r>
          </w:p>
        </w:tc>
        <w:tc>
          <w:tcPr>
            <w:tcW w:type="dxa" w:w="21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Landlords already accept operating-company equity — for yesterday’s format.</w:t>
            </w:r>
          </w:p>
        </w:tc>
      </w:tr>
      <w:tr>
        <w:trPr>
          <w:cantSplit/>
        </w:trPr>
        <w:tc>
          <w:tcPr>
            <w:tcW w:type="dxa" w:w="20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D · Door 1 — contribute the ground, take equity in the operator</w:t>
            </w:r>
          </w:p>
        </w:tc>
        <w:tc>
          <w:tcPr>
            <w:tcW w:type="dxa" w:w="25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Use rights in kind → founding equity; operator guarantees a floor; Capital Partner funds fit-out</w:t>
            </w:r>
          </w:p>
        </w:tc>
        <w:tc>
          <w:tcPr>
            <w:tcW w:type="dxa" w:w="27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Hotel model (owner + operator + TRS); Industrious partnership model [39]</w:t>
            </w:r>
          </w:p>
        </w:tc>
        <w:tc>
          <w:tcPr>
            <w:tcW w:type="dxa" w:w="216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B5651D"/>
                <w:sz w:val="19"/>
                <w:szCs w:val="19"/>
              </w:rPr>
              <w:t xml:space="preserve">Option C’s logic on a new format, no cash out.</w:t>
            </w:r>
          </w:p>
        </w:tc>
      </w:tr>
      <w:tr>
        <w:trPr>
          <w:cantSplit/>
        </w:trPr>
        <w:tc>
          <w:tcPr>
            <w:tcW w:type="dxa" w:w="20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D′ · Door 2 — sell the box at the write-off</w:t>
            </w:r>
          </w:p>
        </w:tc>
        <w:tc>
          <w:tcPr>
            <w:tcW w:type="dxa" w:w="25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Servicer sells note/REO/DPO; vehicle becomes the box’s owner; mall owner keeps the rest</w:t>
            </w:r>
          </w:p>
        </w:tc>
        <w:tc>
          <w:tcPr>
            <w:tcW w:type="dxa" w:w="27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Pecanland: 80.9% severity; Kohan/Namdar buy malls to run as malls — the vehicle buys the box to run as a channel [12][13]</w:t>
            </w:r>
          </w:p>
        </w:tc>
        <w:tc>
          <w:tcPr>
            <w:tcW w:type="dxa" w:w="216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B5651D"/>
                <w:sz w:val="19"/>
                <w:szCs w:val="19"/>
              </w:rPr>
              <w:t xml:space="preserve">The mall owner exits a liability; the neighbour gains a live anchor.</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Section 4 — landlord scoreboard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5. The landlord’s role — defined twice</w:t>
      </w:r>
    </w:p>
    <w:p>
      <w:pPr>
        <w:pStyle w:val="Heading2"/>
        <w:spacing w:after="120" w:before="260"/>
      </w:pPr>
      <w:r>
        <w:rPr>
          <w:rFonts w:ascii="Georgia" w:cs="Georgia" w:eastAsia="Georgia" w:hAnsi="Georgia"/>
          <w:b/>
          <w:bCs/>
          <w:color w:val="0F2A44"/>
          <w:sz w:val="26"/>
          <w:szCs w:val="26"/>
        </w:rPr>
        <w:t xml:space="preserve">5.1 Door 1 · The landlord as founding shareholder (documents A, E)</w:t>
      </w:r>
    </w:p>
    <w:p>
      <w:pPr>
        <w:pStyle w:val="Heading3"/>
        <w:spacing w:after="80" w:before="200"/>
      </w:pPr>
      <w:r>
        <w:rPr>
          <w:rFonts w:ascii="Calibri" w:cs="Calibri" w:eastAsia="Calibri" w:hAnsi="Calibri"/>
          <w:b/>
          <w:bCs/>
          <w:color w:val="B5651D"/>
          <w:sz w:val="23"/>
          <w:szCs w:val="23"/>
        </w:rPr>
        <w:t xml:space="preserve">Contributes, in kind</w:t>
      </w:r>
    </w:p>
    <w:p>
      <w:pPr>
        <w:pStyle w:val="ListParagraph"/>
        <w:numPr>
          <w:ilvl w:val="0"/>
          <w:numId w:val="3"/>
        </w:numPr>
        <w:spacing w:after="90" w:line="290"/>
      </w:pPr>
      <w:r>
        <w:rPr>
          <w:rFonts w:ascii="Calibri" w:cs="Calibri" w:eastAsia="Calibri" w:hAnsi="Calibri"/>
          <w:b/>
          <w:bCs/>
          <w:sz w:val="22"/>
          <w:szCs w:val="22"/>
        </w:rPr>
        <w:t xml:space="preserve">The box</w:t>
      </w:r>
      <w:r>
        <w:rPr>
          <w:rFonts w:ascii="Calibri" w:cs="Calibri" w:eastAsia="Calibri" w:hAnsi="Calibri"/>
          <w:sz w:val="22"/>
          <w:szCs w:val="22"/>
        </w:rPr>
        <w:t xml:space="preserve"> — 100,000–200,000 sq ft, delivered “Phygital-Ready”: vanilla shell with power, HVAC, life-safety and data backbone to a written spec.</w:t>
      </w:r>
    </w:p>
    <w:p>
      <w:pPr>
        <w:pStyle w:val="ListParagraph"/>
        <w:numPr>
          <w:ilvl w:val="0"/>
          <w:numId w:val="3"/>
        </w:numPr>
        <w:spacing w:after="90" w:line="290"/>
      </w:pPr>
      <w:r>
        <w:rPr>
          <w:rFonts w:ascii="Calibri" w:cs="Calibri" w:eastAsia="Calibri" w:hAnsi="Calibri"/>
          <w:b/>
          <w:bCs/>
          <w:sz w:val="22"/>
          <w:szCs w:val="22"/>
        </w:rPr>
        <w:t xml:space="preserve">The street</w:t>
      </w:r>
      <w:r>
        <w:rPr>
          <w:rFonts w:ascii="Calibri" w:cs="Calibri" w:eastAsia="Calibri" w:hAnsi="Calibri"/>
          <w:sz w:val="22"/>
          <w:szCs w:val="22"/>
        </w:rPr>
        <w:t xml:space="preserve"> — common-area and corridor rights for the media grid and mid-corridor modules.</w:t>
      </w:r>
    </w:p>
    <w:p>
      <w:pPr>
        <w:pStyle w:val="ListParagraph"/>
        <w:numPr>
          <w:ilvl w:val="0"/>
          <w:numId w:val="3"/>
        </w:numPr>
        <w:spacing w:after="90" w:line="290"/>
      </w:pPr>
      <w:r>
        <w:rPr>
          <w:rFonts w:ascii="Calibri" w:cs="Calibri" w:eastAsia="Calibri" w:hAnsi="Calibri"/>
          <w:b/>
          <w:bCs/>
          <w:sz w:val="22"/>
          <w:szCs w:val="22"/>
        </w:rPr>
        <w:t xml:space="preserve">The threshold</w:t>
      </w:r>
      <w:r>
        <w:rPr>
          <w:rFonts w:ascii="Calibri" w:cs="Calibri" w:eastAsia="Calibri" w:hAnsi="Calibri"/>
          <w:sz w:val="22"/>
          <w:szCs w:val="22"/>
        </w:rPr>
        <w:t xml:space="preserve"> — parking-lot rights: market days, food trucks, EV charging, curbside logistics, last-car-door media.</w:t>
      </w:r>
    </w:p>
    <w:p>
      <w:pPr>
        <w:pStyle w:val="ListParagraph"/>
        <w:numPr>
          <w:ilvl w:val="0"/>
          <w:numId w:val="3"/>
        </w:numPr>
        <w:spacing w:after="90" w:line="290"/>
      </w:pPr>
      <w:r>
        <w:rPr>
          <w:rFonts w:ascii="Calibri" w:cs="Calibri" w:eastAsia="Calibri" w:hAnsi="Calibri"/>
          <w:b/>
          <w:bCs/>
          <w:sz w:val="22"/>
          <w:szCs w:val="22"/>
        </w:rPr>
        <w:t xml:space="preserve">Quiet enjoyment</w:t>
      </w:r>
      <w:r>
        <w:rPr>
          <w:rFonts w:ascii="Calibri" w:cs="Calibri" w:eastAsia="Calibri" w:hAnsi="Calibri"/>
          <w:sz w:val="22"/>
          <w:szCs w:val="22"/>
        </w:rPr>
        <w:t xml:space="preserve"> — ten years plus options, so fixtures amortize and the yield brain learns.</w:t>
      </w:r>
    </w:p>
    <w:p>
      <w:pPr>
        <w:pStyle w:val="ListParagraph"/>
        <w:numPr>
          <w:ilvl w:val="0"/>
          <w:numId w:val="3"/>
        </w:numPr>
        <w:spacing w:after="90" w:line="290"/>
      </w:pPr>
      <w:r>
        <w:rPr>
          <w:rFonts w:ascii="Calibri" w:cs="Calibri" w:eastAsia="Calibri" w:hAnsi="Calibri"/>
          <w:b/>
          <w:bCs/>
          <w:sz w:val="22"/>
          <w:szCs w:val="22"/>
        </w:rPr>
        <w:t xml:space="preserve">The lender</w:t>
      </w:r>
      <w:r>
        <w:rPr>
          <w:rFonts w:ascii="Calibri" w:cs="Calibri" w:eastAsia="Calibri" w:hAnsi="Calibri"/>
          <w:sz w:val="22"/>
          <w:szCs w:val="22"/>
        </w:rPr>
        <w:t xml:space="preserve"> — consent, estoppels, SNDA. Only the borrower can bring the lender to the table.</w:t>
      </w:r>
    </w:p>
    <w:p>
      <w:pPr>
        <w:pStyle w:val="ListParagraph"/>
        <w:numPr>
          <w:ilvl w:val="0"/>
          <w:numId w:val="3"/>
        </w:numPr>
        <w:spacing w:after="90" w:line="290"/>
      </w:pPr>
      <w:r>
        <w:rPr>
          <w:rFonts w:ascii="Calibri" w:cs="Calibri" w:eastAsia="Calibri" w:hAnsi="Calibri"/>
          <w:b/>
          <w:bCs/>
          <w:sz w:val="22"/>
          <w:szCs w:val="22"/>
        </w:rPr>
        <w:t xml:space="preserve">The co-tenancy web</w:t>
      </w:r>
      <w:r>
        <w:rPr>
          <w:rFonts w:ascii="Calibri" w:cs="Calibri" w:eastAsia="Calibri" w:hAnsi="Calibri"/>
          <w:sz w:val="22"/>
          <w:szCs w:val="22"/>
        </w:rPr>
        <w:t xml:space="preserve"> — re-papering so a live Atmosphere anchor cures anchor-occupancy tests instead of tripping them.</w:t>
      </w:r>
    </w:p>
    <w:p>
      <w:pPr>
        <w:pStyle w:val="ListParagraph"/>
        <w:numPr>
          <w:ilvl w:val="0"/>
          <w:numId w:val="3"/>
        </w:numPr>
        <w:spacing w:after="90" w:line="290"/>
      </w:pPr>
      <w:r>
        <w:rPr>
          <w:rFonts w:ascii="Calibri" w:cs="Calibri" w:eastAsia="Calibri" w:hAnsi="Calibri"/>
          <w:b/>
          <w:bCs/>
          <w:sz w:val="22"/>
          <w:szCs w:val="22"/>
        </w:rPr>
        <w:t xml:space="preserve">Municipal standing</w:t>
      </w:r>
      <w:r>
        <w:rPr>
          <w:rFonts w:ascii="Calibri" w:cs="Calibri" w:eastAsia="Calibri" w:hAnsi="Calibri"/>
          <w:sz w:val="22"/>
          <w:szCs w:val="22"/>
        </w:rPr>
        <w:t xml:space="preserve"> — permits, signage, assembly occupancy, civic goodwill.</w:t>
      </w:r>
    </w:p>
    <w:p>
      <w:pPr>
        <w:pStyle w:val="Heading3"/>
        <w:spacing w:after="80" w:before="200"/>
      </w:pPr>
      <w:r>
        <w:rPr>
          <w:rFonts w:ascii="Calibri" w:cs="Calibri" w:eastAsia="Calibri" w:hAnsi="Calibri"/>
          <w:b/>
          <w:bCs/>
          <w:color w:val="B5651D"/>
          <w:sz w:val="23"/>
          <w:szCs w:val="23"/>
        </w:rPr>
        <w:t xml:space="preserve">Receives</w:t>
      </w:r>
    </w:p>
    <w:p>
      <w:pPr>
        <w:pStyle w:val="ListParagraph"/>
        <w:numPr>
          <w:ilvl w:val="0"/>
          <w:numId w:val="3"/>
        </w:numPr>
        <w:spacing w:after="90" w:line="290"/>
      </w:pPr>
      <w:r>
        <w:rPr>
          <w:rFonts w:ascii="Calibri" w:cs="Calibri" w:eastAsia="Calibri" w:hAnsi="Calibri"/>
          <w:b/>
          <w:bCs/>
          <w:sz w:val="22"/>
          <w:szCs w:val="22"/>
        </w:rPr>
        <w:t xml:space="preserve">Founding equity</w:t>
      </w:r>
      <w:r>
        <w:rPr>
          <w:rFonts w:ascii="Calibri" w:cs="Calibri" w:eastAsia="Calibri" w:hAnsi="Calibri"/>
          <w:sz w:val="22"/>
          <w:szCs w:val="22"/>
        </w:rPr>
        <w:t xml:space="preserve"> — 20% (A) or 40% with a 20% Capital Partner (E). </w:t>
      </w:r>
      <w:r>
        <w:rPr>
          <w:rFonts w:ascii="Calibri" w:cs="Calibri" w:eastAsia="Calibri" w:hAnsi="Calibri"/>
          <w:b/>
          <w:bCs/>
          <w:color w:val="B5651D"/>
          <w:sz w:val="22"/>
          <w:szCs w:val="22"/>
        </w:rPr>
        <w:t xml:space="preserve">Council decision item 9.2.</w:t>
      </w:r>
    </w:p>
    <w:p>
      <w:pPr>
        <w:pStyle w:val="ListParagraph"/>
        <w:numPr>
          <w:ilvl w:val="0"/>
          <w:numId w:val="3"/>
        </w:numPr>
        <w:spacing w:after="90" w:line="290"/>
      </w:pPr>
      <w:r>
        <w:rPr>
          <w:rFonts w:ascii="Calibri" w:cs="Calibri" w:eastAsia="Calibri" w:hAnsi="Calibri"/>
          <w:b/>
          <w:bCs/>
          <w:sz w:val="22"/>
          <w:szCs w:val="22"/>
        </w:rPr>
        <w:t xml:space="preserve">A rent floor</w:t>
      </w:r>
      <w:r>
        <w:rPr>
          <w:rFonts w:ascii="Calibri" w:cs="Calibri" w:eastAsia="Calibri" w:hAnsi="Calibri"/>
          <w:sz w:val="22"/>
          <w:szCs w:val="22"/>
        </w:rPr>
        <w:t xml:space="preserve"> — trailing three-year average, guaranteed by the operator; shortfall paid quarterly.</w:t>
      </w:r>
    </w:p>
    <w:p>
      <w:pPr>
        <w:pStyle w:val="ListParagraph"/>
        <w:numPr>
          <w:ilvl w:val="0"/>
          <w:numId w:val="3"/>
        </w:numPr>
        <w:spacing w:after="90" w:line="290"/>
      </w:pPr>
      <w:r>
        <w:rPr>
          <w:rFonts w:ascii="Calibri" w:cs="Calibri" w:eastAsia="Calibri" w:hAnsi="Calibri"/>
          <w:b/>
          <w:bCs/>
          <w:sz w:val="22"/>
          <w:szCs w:val="22"/>
        </w:rPr>
        <w:t xml:space="preserve">Upside on every line</w:t>
      </w:r>
      <w:r>
        <w:rPr>
          <w:rFonts w:ascii="Calibri" w:cs="Calibri" w:eastAsia="Calibri" w:hAnsi="Calibri"/>
          <w:sz w:val="22"/>
          <w:szCs w:val="22"/>
        </w:rPr>
        <w:t xml:space="preserve"> — space yield, media, commissions, sponsorship, membership, events, fulfilment, threshold.</w:t>
      </w:r>
    </w:p>
    <w:p>
      <w:pPr>
        <w:pStyle w:val="ListParagraph"/>
        <w:numPr>
          <w:ilvl w:val="0"/>
          <w:numId w:val="3"/>
        </w:numPr>
        <w:spacing w:after="90" w:line="290"/>
      </w:pPr>
      <w:r>
        <w:rPr>
          <w:rFonts w:ascii="Calibri" w:cs="Calibri" w:eastAsia="Calibri" w:hAnsi="Calibri"/>
          <w:b/>
          <w:bCs/>
          <w:sz w:val="22"/>
          <w:szCs w:val="22"/>
        </w:rPr>
        <w:t xml:space="preserve">A live anchor in 90 days</w:t>
      </w:r>
      <w:r>
        <w:rPr>
          <w:rFonts w:ascii="Calibri" w:cs="Calibri" w:eastAsia="Calibri" w:hAnsi="Calibri"/>
          <w:sz w:val="22"/>
          <w:szCs w:val="22"/>
        </w:rPr>
        <w:t xml:space="preserve"> from shell delivery; co-tenancy cured faster than any backfill lease.</w:t>
      </w:r>
    </w:p>
    <w:p>
      <w:pPr>
        <w:pStyle w:val="ListParagraph"/>
        <w:numPr>
          <w:ilvl w:val="0"/>
          <w:numId w:val="3"/>
        </w:numPr>
        <w:spacing w:after="90" w:line="290"/>
      </w:pPr>
      <w:r>
        <w:rPr>
          <w:rFonts w:ascii="Calibri" w:cs="Calibri" w:eastAsia="Calibri" w:hAnsi="Calibri"/>
          <w:b/>
          <w:bCs/>
          <w:sz w:val="22"/>
          <w:szCs w:val="22"/>
        </w:rPr>
        <w:t xml:space="preserve">Halo</w:t>
      </w:r>
      <w:r>
        <w:rPr>
          <w:rFonts w:ascii="Calibri" w:cs="Calibri" w:eastAsia="Calibri" w:hAnsi="Calibri"/>
          <w:sz w:val="22"/>
          <w:szCs w:val="22"/>
        </w:rPr>
        <w:t xml:space="preserve"> — inline rents and renewals re-priced against a destination anchor.</w:t>
      </w:r>
    </w:p>
    <w:p>
      <w:pPr>
        <w:pStyle w:val="ListParagraph"/>
        <w:numPr>
          <w:ilvl w:val="0"/>
          <w:numId w:val="3"/>
        </w:numPr>
        <w:spacing w:after="90" w:line="290"/>
      </w:pPr>
      <w:r>
        <w:rPr>
          <w:rFonts w:ascii="Calibri" w:cs="Calibri" w:eastAsia="Calibri" w:hAnsi="Calibri"/>
          <w:b/>
          <w:bCs/>
          <w:sz w:val="22"/>
          <w:szCs w:val="22"/>
        </w:rPr>
        <w:t xml:space="preserve">Governance</w:t>
      </w:r>
      <w:r>
        <w:rPr>
          <w:rFonts w:ascii="Calibri" w:cs="Calibri" w:eastAsia="Calibri" w:hAnsi="Calibri"/>
          <w:sz w:val="22"/>
          <w:szCs w:val="22"/>
        </w:rPr>
        <w:t xml:space="preserve"> — board seat or observer, information rights, approval list, first look on the next box.</w:t>
      </w:r>
    </w:p>
    <w:p>
      <w:pPr>
        <w:pStyle w:val="Heading3"/>
        <w:spacing w:after="80" w:before="200"/>
      </w:pPr>
      <w:r>
        <w:rPr>
          <w:rFonts w:ascii="Calibri" w:cs="Calibri" w:eastAsia="Calibri" w:hAnsi="Calibri"/>
          <w:b/>
          <w:bCs/>
          <w:color w:val="B5651D"/>
          <w:sz w:val="23"/>
          <w:szCs w:val="23"/>
        </w:rPr>
        <w:t xml:space="preserve">Does not do</w:t>
      </w:r>
    </w:p>
    <w:p>
      <w:pPr>
        <w:pStyle w:val="ListParagraph"/>
        <w:numPr>
          <w:ilvl w:val="0"/>
          <w:numId w:val="3"/>
        </w:numPr>
        <w:spacing w:after="90" w:line="290"/>
      </w:pPr>
      <w:r>
        <w:rPr>
          <w:rFonts w:ascii="Calibri" w:cs="Calibri" w:eastAsia="Calibri" w:hAnsi="Calibri"/>
          <w:sz w:val="22"/>
          <w:szCs w:val="22"/>
        </w:rPr>
        <w:t xml:space="preserve">No cash capex; no operations; no media sales; no technology risk; no brand risk beyond the written approval list.</w:t>
      </w:r>
    </w:p>
    <w:p>
      <w:pPr>
        <w:pStyle w:val="Heading2"/>
        <w:spacing w:after="120" w:before="260"/>
      </w:pPr>
      <w:r>
        <w:rPr>
          <w:rFonts w:ascii="Georgia" w:cs="Georgia" w:eastAsia="Georgia" w:hAnsi="Georgia"/>
          <w:b/>
          <w:bCs/>
          <w:color w:val="0F2A44"/>
          <w:sz w:val="26"/>
          <w:szCs w:val="26"/>
        </w:rPr>
        <w:t xml:space="preserve">5.2 Door 2 · The landlord as counterparty (documents C, D)</w:t>
      </w:r>
    </w:p>
    <w:p>
      <w:pPr>
        <w:spacing w:after="140" w:line="300"/>
      </w:pPr>
      <w:r>
        <w:rPr>
          <w:rFonts w:ascii="Calibri" w:cs="Calibri" w:eastAsia="Calibri" w:hAnsi="Calibri"/>
          <w:sz w:val="22"/>
          <w:szCs w:val="22"/>
        </w:rPr>
        <w:t xml:space="preserve">Under the Special Situation route the acquisition vehicle buys the box from the special servicer. The mall owner is not a shareholder; it is the neighbour whose consents make the box operable. One Box says it plainly: co-tenancy and reciprocal-easement terms are resolved before closing, not after.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600"/>
        <w:gridCol w:w="3160"/>
      </w:tblGrid>
      <w:tr>
        <w:trPr>
          <w:tblHeader/>
        </w:trPr>
        <w:tc>
          <w:tcPr>
            <w:tcW w:type="dxa" w:w="26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What the vehicle needs from the mall owner</w:t>
            </w:r>
          </w:p>
        </w:tc>
        <w:tc>
          <w:tcPr>
            <w:tcW w:type="dxa" w:w="36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Why</w:t>
            </w:r>
          </w:p>
        </w:tc>
        <w:tc>
          <w:tcPr>
            <w:tcW w:type="dxa" w:w="31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What the mall owner gets</w:t>
            </w:r>
          </w:p>
        </w:tc>
      </w:tr>
      <w:tr>
        <w:trPr>
          <w:cantSplit/>
        </w:trPr>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REA amendment</w:t>
            </w:r>
          </w:p>
        </w:tc>
        <w:tc>
          <w:tcPr>
            <w:tcW w:type="dxa" w:w="3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Use, hours, signage, assembly occupancy and media on a former department-store parcel are usually restricted by the reciprocal easement agreement</w:t>
            </w:r>
          </w:p>
        </w:tc>
        <w:tc>
          <w:tcPr>
            <w:tcW w:type="dxa" w:w="31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 live anchor curing its own inline co-tenancy leakage — the same $-value shown in Section 7, without contributing anything</w:t>
            </w:r>
          </w:p>
        </w:tc>
      </w:tr>
      <w:tr>
        <w:trPr>
          <w:cantSplit/>
        </w:trPr>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Co-tenancy recognition</w:t>
            </w:r>
          </w:p>
        </w:tc>
        <w:tc>
          <w:tcPr>
            <w:tcW w:type="dxa" w:w="3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Inline leases define “anchor”; the mall owner must agree Atmosphere qualifies</w:t>
            </w:r>
          </w:p>
        </w:tc>
        <w:tc>
          <w:tcPr>
            <w:tcW w:type="dxa" w:w="31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Restored inline rent; a story for its own lender</w:t>
            </w:r>
          </w:p>
        </w:tc>
      </w:tr>
      <w:tr>
        <w:trPr>
          <w:cantSplit/>
        </w:trPr>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Parking and threshold rights</w:t>
            </w:r>
          </w:p>
        </w:tc>
        <w:tc>
          <w:tcPr>
            <w:tcW w:type="dxa" w:w="3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The lot is usually the mall’s, not the box’s</w:t>
            </w:r>
          </w:p>
        </w:tc>
        <w:tc>
          <w:tcPr>
            <w:tcW w:type="dxa" w:w="31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 share of threshold lines (Bucket 3) or a fixed licence fee — council item 9.6</w:t>
            </w:r>
          </w:p>
        </w:tc>
      </w:tr>
      <w:tr>
        <w:trPr>
          <w:cantSplit/>
        </w:trPr>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Corridor and common-area access</w:t>
            </w:r>
          </w:p>
        </w:tc>
        <w:tc>
          <w:tcPr>
            <w:tcW w:type="dxa" w:w="3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The box’s own entrance exists; the corridor door is the mall’s</w:t>
            </w:r>
          </w:p>
        </w:tc>
        <w:tc>
          <w:tcPr>
            <w:tcW w:type="dxa" w:w="31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Media and module revenue on the corridor side, if it wants it</w:t>
            </w:r>
          </w:p>
        </w:tc>
      </w:tr>
      <w:tr>
        <w:trPr>
          <w:cantSplit/>
        </w:trPr>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Estoppel for the lease pool</w:t>
            </w:r>
          </w:p>
        </w:tc>
        <w:tc>
          <w:tcPr>
            <w:tcW w:type="dxa" w:w="3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Net-lease ABS or CTL financing will require the neighbour’s estoppel on REA and co-tenancy</w:t>
            </w:r>
          </w:p>
        </w:tc>
        <w:tc>
          <w:tcPr>
            <w:tcW w:type="dxa" w:w="31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Nothing — but refusing costs it the anchor</w:t>
            </w:r>
          </w:p>
        </w:tc>
      </w:tr>
    </w:tbl>
    <w:p>
      <w:pPr>
        <w:spacing w:after="120"/>
      </w:pPr>
    </w:p>
    <w:p>
      <w:pPr>
        <w:keepNext/>
        <w:pBdr>
          <w:left w:val="single" w:color="0F2A44" w:sz="24" w:space="8"/>
        </w:pBdr>
        <w:shd w:fill="F3F5F8" w:color="auto" w:val="clear"/>
        <w:spacing w:after="60" w:before="120" w:line="290"/>
        <w:ind w:left="200" w:right="200"/>
      </w:pPr>
      <w:r>
        <w:rPr>
          <w:rFonts w:ascii="Calibri" w:cs="Calibri" w:eastAsia="Calibri" w:hAnsi="Calibri"/>
          <w:b/>
          <w:bCs/>
          <w:caps/>
          <w:color w:val="0F2A44"/>
          <w:spacing w:val="20"/>
          <w:sz w:val="20"/>
          <w:szCs w:val="20"/>
        </w:rPr>
        <w:t xml:space="preserve">The five jobs only the ground-holder can do — in either door</w:t>
      </w:r>
    </w:p>
    <w:p>
      <w:pPr>
        <w:pBdr>
          <w:left w:val="single" w:color="0F2A44" w:sz="24" w:space="8"/>
        </w:pBdr>
        <w:shd w:fill="F3F5F8" w:color="auto" w:val="clear"/>
        <w:spacing w:after="160" w:line="290"/>
        <w:ind w:left="200" w:right="200"/>
      </w:pPr>
      <w:r>
        <w:rPr>
          <w:rFonts w:ascii="Calibri" w:cs="Calibri" w:eastAsia="Calibri" w:hAnsi="Calibri"/>
          <w:sz w:val="21"/>
          <w:szCs w:val="21"/>
        </w:rPr>
        <w:t xml:space="preserve">1. Hand over the ground. 2. Unlock the lender (Door 1) or the servicer (Door 2). 3. Cure the co-tenancy web. 4. Grant the threshold. 5. Legitimize the third place with the town — a civic third place needs a civic owner.</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Section 5 — role definitions</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6. The Industrious argument — in the form the council agreed</w:t>
      </w:r>
    </w:p>
    <w:p>
      <w:pPr>
        <w:spacing w:after="140" w:line="300"/>
      </w:pPr>
      <w:r>
        <w:rPr>
          <w:rFonts w:ascii="Calibri" w:cs="Calibri" w:eastAsia="Calibri" w:hAnsi="Calibri"/>
          <w:sz w:val="22"/>
          <w:szCs w:val="22"/>
        </w:rPr>
        <w:t xml:space="preserve">The council’s intuition is that CBRE’s purchase of Industrious is the most trusted external proof of the Atmosphere thesis. It is. This section states the argument in the form that survives examination — three findings and one conditional thesis — so that no candidate, no lender and no market can knock it over.</w:t>
      </w:r>
    </w:p>
    <w:p>
      <w:pPr>
        <w:pStyle w:val="Heading2"/>
        <w:spacing w:after="120" w:before="260"/>
      </w:pPr>
      <w:r>
        <w:rPr>
          <w:rFonts w:ascii="Georgia" w:cs="Georgia" w:eastAsia="Georgia" w:hAnsi="Georgia"/>
          <w:b/>
          <w:bCs/>
          <w:color w:val="0F2A44"/>
          <w:sz w:val="26"/>
          <w:szCs w:val="26"/>
        </w:rPr>
        <w:t xml:space="preserve">6.1 Finding A — obsolescence is being priced at 70–80% write-offs</w:t>
      </w:r>
    </w:p>
    <w:p>
      <w:pPr>
        <w:spacing w:after="140" w:line="300"/>
      </w:pPr>
      <w:r>
        <w:rPr>
          <w:rFonts w:ascii="Calibri" w:cs="Calibri" w:eastAsia="Calibri" w:hAnsi="Calibri"/>
          <w:b/>
          <w:bCs/>
          <w:color w:val="1F6B3A"/>
          <w:sz w:val="22"/>
          <w:szCs w:val="22"/>
        </w:rPr>
        <w:t xml:space="preserve">OPEN SOURCE. </w:t>
      </w:r>
      <w:r>
        <w:rPr>
          <w:rFonts w:ascii="Calibri" w:cs="Calibri" w:eastAsia="Calibri" w:hAnsi="Calibri"/>
          <w:sz w:val="22"/>
          <w:szCs w:val="22"/>
        </w:rPr>
        <w:t xml:space="preserve">May 2026: ten CMBS loans liquidated at a 72.7% aggregate severity, office-led; Pecanland Mall sold at an 80.9% severity [12]. Office CMBS delinquency at a record 12.34% in January 2026 [6]. Enclosed-mall CMBS loans written before 2017 at 96.3% delinquency [9]. </w:t>
      </w:r>
      <w:r>
        <w:rPr>
          <w:rFonts w:ascii="Calibri" w:cs="Calibri" w:eastAsia="Calibri" w:hAnsi="Calibri"/>
          <w:b/>
          <w:bCs/>
          <w:sz w:val="22"/>
          <w:szCs w:val="22"/>
        </w:rPr>
        <w:t xml:space="preserve">The market is not discounting obsolete space. It is writing it off.</w:t>
      </w:r>
    </w:p>
    <w:p>
      <w:pPr>
        <w:pStyle w:val="Heading2"/>
        <w:spacing w:after="120" w:before="260"/>
      </w:pPr>
      <w:r>
        <w:rPr>
          <w:rFonts w:ascii="Georgia" w:cs="Georgia" w:eastAsia="Georgia" w:hAnsi="Georgia"/>
          <w:b/>
          <w:bCs/>
          <w:color w:val="0F2A44"/>
          <w:sz w:val="26"/>
          <w:szCs w:val="26"/>
        </w:rPr>
        <w:t xml:space="preserve">6.2 Finding B — the largest services firm in the sector paid $800M for the operator layer</w:t>
      </w:r>
    </w:p>
    <w:p>
      <w:pPr>
        <w:spacing w:after="140" w:line="300"/>
      </w:pPr>
      <w:r>
        <w:rPr>
          <w:rFonts w:ascii="Calibri" w:cs="Calibri" w:eastAsia="Calibri" w:hAnsi="Calibri"/>
          <w:b/>
          <w:bCs/>
          <w:color w:val="1F6B3A"/>
          <w:sz w:val="22"/>
          <w:szCs w:val="22"/>
        </w:rPr>
        <w:t xml:space="preserve">OPEN SOURCE. </w:t>
      </w:r>
      <w:r>
        <w:rPr>
          <w:rFonts w:ascii="Calibri" w:cs="Calibri" w:eastAsia="Calibri" w:hAnsi="Calibri"/>
          <w:sz w:val="22"/>
          <w:szCs w:val="22"/>
        </w:rPr>
        <w:t xml:space="preserve">On 14 January 2025 CBRE — the world’s largest commercial real-estate services firm, which manages and leases buildings rather than owning them — agreed to buy the remaining ~60% of Industrious for ~$400M, at an implied enterprise value of ~$800M, and created a new segment, Building Operations &amp; Experience, with Industrious’s founder as its CEO and CBRE’s Chief Commercial Officer. CBRE had held ~40% since late 2020 plus a $100M convertible note; the deal was described as immediately accretive to core EBITDA and free cash flow; Industrious’s revenue had compounded at more than 50% a year since 2021 across 200+ units in 65 cities [39].</w:t>
      </w:r>
    </w:p>
    <w:p>
      <w:pPr>
        <w:keepNext/>
        <w:pBdr>
          <w:left w:val="single" w:color="B5651D" w:sz="24" w:space="8"/>
        </w:pBdr>
        <w:shd w:fill="FBF4EC" w:color="auto" w:val="clear"/>
        <w:spacing w:after="60" w:before="120" w:line="290"/>
        <w:ind w:left="200" w:right="200"/>
      </w:pPr>
      <w:r>
        <w:rPr>
          <w:rFonts w:ascii="Calibri" w:cs="Calibri" w:eastAsia="Calibri" w:hAnsi="Calibri"/>
          <w:b/>
          <w:bCs/>
          <w:caps/>
          <w:color w:val="B5651D"/>
          <w:spacing w:val="20"/>
          <w:sz w:val="20"/>
          <w:szCs w:val="20"/>
        </w:rPr>
        <w:t xml:space="preserve">What this finding says — and what it does not</w:t>
      </w:r>
    </w:p>
    <w:p>
      <w:pPr>
        <w:pBdr>
          <w:left w:val="single" w:color="B5651D" w:sz="24" w:space="8"/>
        </w:pBdr>
        <w:shd w:fill="FBF4EC" w:color="auto" w:val="clear"/>
        <w:spacing w:after="80" w:line="290"/>
        <w:ind w:left="200" w:right="200"/>
      </w:pPr>
      <w:r>
        <w:rPr>
          <w:rFonts w:ascii="Calibri" w:cs="Calibri" w:eastAsia="Calibri" w:hAnsi="Calibri"/>
          <w:b/>
          <w:bCs/>
          <w:sz w:val="21"/>
          <w:szCs w:val="21"/>
        </w:rPr>
        <w:t xml:space="preserve">It says: </w:t>
      </w:r>
      <w:r>
        <w:rPr>
          <w:rFonts w:ascii="Calibri" w:cs="Calibri" w:eastAsia="Calibri" w:hAnsi="Calibri"/>
          <w:sz w:val="21"/>
          <w:szCs w:val="21"/>
        </w:rPr>
        <w:t xml:space="preserve">a strategic buyer whose income is fees on operating buildings will pay for an asset-light operator that re-prices obsolete space — because obsolete space is lost fee income. Call it fee-defense. It establishes the buyer class (CBRE BOE, JLL, Cushman &amp; Wakefield, Simon’s “other platforms”, Brookfield) and an exit comparable.</w:t>
      </w:r>
    </w:p>
    <w:p>
      <w:pPr>
        <w:pBdr>
          <w:left w:val="single" w:color="B5651D" w:sz="24" w:space="8"/>
        </w:pBdr>
        <w:shd w:fill="FBF4EC" w:color="auto" w:val="clear"/>
        <w:spacing w:after="160" w:line="290"/>
        <w:ind w:left="200" w:right="200"/>
      </w:pPr>
      <w:r>
        <w:rPr>
          <w:rFonts w:ascii="Calibri" w:cs="Calibri" w:eastAsia="Calibri" w:hAnsi="Calibri"/>
          <w:b/>
          <w:bCs/>
          <w:sz w:val="21"/>
          <w:szCs w:val="21"/>
        </w:rPr>
        <w:t xml:space="preserve">It does not say: </w:t>
      </w:r>
      <w:r>
        <w:rPr>
          <w:rFonts w:ascii="Calibri" w:cs="Calibri" w:eastAsia="Calibri" w:hAnsi="Calibri"/>
          <w:sz w:val="21"/>
          <w:szCs w:val="21"/>
        </w:rPr>
        <w:t xml:space="preserve">that CBRE bought blind, or that fear set the price. CBRE had four years of board visibility and paid a price that was accretive on day one. The same office panic produced two outcomes in the same years: WeWork at $47B into Chapter 11, Industrious at $800M into CBRE. The difference was not the size of the story; it was asset-light contracts and unit economics. Fear did not price Industrious — cash flow did. Fear did not save Volta either.</w:t>
      </w:r>
    </w:p>
    <w:p>
      <w:pPr>
        <w:pStyle w:val="Heading2"/>
        <w:spacing w:after="120" w:before="260"/>
      </w:pPr>
      <w:r>
        <w:rPr>
          <w:rFonts w:ascii="Georgia" w:cs="Georgia" w:eastAsia="Georgia" w:hAnsi="Georgia"/>
          <w:b/>
          <w:bCs/>
          <w:color w:val="0F2A44"/>
          <w:sz w:val="26"/>
          <w:szCs w:val="26"/>
        </w:rPr>
        <w:t xml:space="preserve">6.3 Finding C — the retail box has fewer exits than the office floor</w:t>
      </w:r>
    </w:p>
    <w:p>
      <w:pPr>
        <w:spacing w:after="140" w:line="300"/>
      </w:pPr>
      <w:r>
        <w:rPr>
          <w:rFonts w:ascii="Calibri" w:cs="Calibri" w:eastAsia="Calibri" w:hAnsi="Calibri"/>
          <w:b/>
          <w:bCs/>
          <w:color w:val="1F6B3A"/>
          <w:sz w:val="22"/>
          <w:szCs w:val="22"/>
        </w:rPr>
        <w:t xml:space="preserve">OPEN SOURCE. </w:t>
      </w:r>
      <w:r>
        <w:rPr>
          <w:rFonts w:ascii="Calibri" w:cs="Calibri" w:eastAsia="Calibri" w:hAnsi="Calibri"/>
          <w:sz w:val="22"/>
          <w:szCs w:val="22"/>
        </w:rPr>
        <w:t xml:space="preserve">Office owners facing obsolescence still have a lending market for good buildings and a flex-operator market for the rest. Class B/C enclosed malls have neither: they are outside the CMBS mandate [10][11], the backfill pool for 40k+ sq ft is thin [18], and the only buyers — Kohan, Namdar — buy them to run as malls [13]. </w:t>
      </w:r>
      <w:r>
        <w:rPr>
          <w:rFonts w:ascii="Calibri" w:cs="Calibri" w:eastAsia="Calibri" w:hAnsi="Calibri"/>
          <w:b/>
          <w:bCs/>
          <w:sz w:val="22"/>
          <w:szCs w:val="22"/>
        </w:rPr>
        <w:t xml:space="preserve">Where the alternatives are fewer, the operator that opens the margin is worth more.</w:t>
      </w:r>
    </w:p>
    <w:p>
      <w:pPr>
        <w:pStyle w:val="Heading2"/>
        <w:spacing w:after="120" w:before="260"/>
      </w:pPr>
      <w:r>
        <w:rPr>
          <w:rFonts w:ascii="Georgia" w:cs="Georgia" w:eastAsia="Georgia" w:hAnsi="Georgia"/>
          <w:b/>
          <w:bCs/>
          <w:color w:val="0F2A44"/>
          <w:sz w:val="26"/>
          <w:szCs w:val="26"/>
        </w:rPr>
        <w:t xml:space="preserve">6.4 The thesis — conditional, with a proof ladder</w:t>
      </w:r>
    </w:p>
    <w:p>
      <w:pPr>
        <w:spacing w:after="140" w:line="300"/>
      </w:pPr>
      <w:r>
        <w:rPr>
          <w:rFonts w:ascii="Calibri" w:cs="Calibri" w:eastAsia="Calibri" w:hAnsi="Calibri"/>
          <w:sz w:val="22"/>
          <w:szCs w:val="22"/>
        </w:rPr>
        <w:t xml:space="preserve">Industrious re-priced one square metre of obsolete office with one product: a desk. Atmosphere proposes to re-price one square metre of obsolete retail with seven lines, a media network and a membership layer. The council may therefore adopt the following as its ambition, in this form and no stronger:</w:t>
      </w:r>
    </w:p>
    <w:p>
      <w:pPr>
        <w:keepNext/>
        <w:pBdr>
          <w:left w:val="single" w:color="1F6B3A" w:sz="24" w:space="8"/>
        </w:pBdr>
        <w:shd w:fill="FBF4EC" w:color="auto" w:val="clear"/>
        <w:spacing w:after="60" w:before="120" w:line="290"/>
        <w:ind w:left="200" w:right="200"/>
      </w:pPr>
      <w:r>
        <w:rPr>
          <w:rFonts w:ascii="Calibri" w:cs="Calibri" w:eastAsia="Calibri" w:hAnsi="Calibri"/>
          <w:b/>
          <w:bCs/>
          <w:caps/>
          <w:color w:val="1F6B3A"/>
          <w:spacing w:val="20"/>
          <w:sz w:val="20"/>
          <w:szCs w:val="20"/>
        </w:rPr>
        <w:t xml:space="preserve">The council’s thesis</w:t>
      </w:r>
    </w:p>
    <w:p>
      <w:pPr>
        <w:pBdr>
          <w:left w:val="single" w:color="1F6B3A" w:sz="24" w:space="8"/>
        </w:pBdr>
        <w:shd w:fill="FBF4EC" w:color="auto" w:val="clear"/>
        <w:spacing w:after="160" w:line="290"/>
        <w:ind w:left="200" w:right="200"/>
      </w:pPr>
      <w:r>
        <w:rPr>
          <w:rFonts w:ascii="Calibri" w:cs="Calibri" w:eastAsia="Calibri" w:hAnsi="Calibri"/>
          <w:b/>
          <w:bCs/>
          <w:sz w:val="21"/>
          <w:szCs w:val="21"/>
        </w:rPr>
        <w:t xml:space="preserve">If</w:t>
      </w:r>
      <w:r>
        <w:rPr>
          <w:rFonts w:ascii="Calibri" w:cs="Calibri" w:eastAsia="Calibri" w:hAnsi="Calibri"/>
          <w:sz w:val="21"/>
          <w:szCs w:val="21"/>
        </w:rPr>
        <w:t xml:space="preserve"> Atmosphere reaches comparable scale and operating history to Industrious at the time of its sale, </w:t>
      </w:r>
      <w:r>
        <w:rPr>
          <w:rFonts w:ascii="Calibri" w:cs="Calibri" w:eastAsia="Calibri" w:hAnsi="Calibri"/>
          <w:b/>
          <w:bCs/>
          <w:sz w:val="21"/>
          <w:szCs w:val="21"/>
        </w:rPr>
        <w:t xml:space="preserve">then</w:t>
      </w:r>
      <w:r>
        <w:rPr>
          <w:rFonts w:ascii="Calibri" w:cs="Calibri" w:eastAsia="Calibri" w:hAnsi="Calibri"/>
          <w:sz w:val="21"/>
          <w:szCs w:val="21"/>
        </w:rPr>
        <w:t xml:space="preserve"> three multipliers justify a premium to Industrious’s valuation: (1) seven revenue lines on one floor versus one; (2) a media and data layer that a desk business does not have, in the fastest-growing, least-served slice of a $70B pool; (3) an asset class with fewer alternative exits than office. The council’s stated ambition is a multiple of at least three times Industrious. That ambition is earned on the proof ladder below, not by the analogy.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4400"/>
        <w:gridCol w:w="3960"/>
      </w:tblGrid>
      <w:tr>
        <w:trPr>
          <w:tblHeader/>
        </w:trPr>
        <w:tc>
          <w:tcPr>
            <w:tcW w:type="dxa" w:w="10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Rung</w:t>
            </w:r>
          </w:p>
        </w:tc>
        <w:tc>
          <w:tcPr>
            <w:tcW w:type="dxa" w:w="44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Proof</w:t>
            </w:r>
          </w:p>
        </w:tc>
        <w:tc>
          <w:tcPr>
            <w:tcW w:type="dxa" w:w="39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What it unlocks</w:t>
            </w:r>
          </w:p>
        </w:tc>
      </w:tr>
      <w:tr>
        <w:trPr>
          <w:cantSplit/>
        </w:trPr>
        <w:tc>
          <w:tcPr>
            <w:tcW w:type="dxa" w:w="1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w:t>
            </w:r>
          </w:p>
        </w:tc>
        <w:tc>
          <w:tcPr>
            <w:tcW w:type="dxa" w:w="4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First U.S. venue open; four systems live; RevPAM reported monthly</w:t>
            </w:r>
          </w:p>
        </w:tc>
        <w:tc>
          <w:tcPr>
            <w:tcW w:type="dxa" w:w="3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The number a lender can read (One Box, Bucket 1) and the first landlord reference</w:t>
            </w:r>
          </w:p>
        </w:tc>
      </w:tr>
      <w:tr>
        <w:trPr>
          <w:cantSplit/>
        </w:trPr>
        <w:tc>
          <w:tcPr>
            <w:tcW w:type="dxa" w:w="10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2</w:t>
            </w:r>
          </w:p>
        </w:tc>
        <w:tc>
          <w:tcPr>
            <w:tcW w:type="dxa" w:w="4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Twelve months of operating data: seven lines, co-tenancy cure measured, sponsor and advertiser contracts in place</w:t>
            </w:r>
          </w:p>
        </w:tc>
        <w:tc>
          <w:tcPr>
            <w:tcW w:type="dxa" w:w="3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The floor guarantee becomes a priced instrument; second and third boxes under either door</w:t>
            </w:r>
          </w:p>
        </w:tc>
      </w:tr>
      <w:tr>
        <w:trPr>
          <w:cantSplit/>
        </w:trPr>
        <w:tc>
          <w:tcPr>
            <w:tcW w:type="dxa" w:w="10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3</w:t>
            </w:r>
          </w:p>
        </w:tc>
        <w:tc>
          <w:tcPr>
            <w:tcW w:type="dxa" w:w="44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Five venues; first net-lease ABS or CTL financing closed against a Bucket 1 pool</w:t>
            </w:r>
          </w:p>
        </w:tc>
        <w:tc>
          <w:tcPr>
            <w:tcW w:type="dxa" w:w="39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The exit-through-the-lease mechanism is proven; the vehicle is financeable</w:t>
            </w:r>
          </w:p>
        </w:tc>
      </w:tr>
      <w:tr>
        <w:trPr>
          <w:cantSplit/>
        </w:trPr>
        <w:tc>
          <w:tcPr>
            <w:tcW w:type="dxa" w:w="10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4</w:t>
            </w:r>
          </w:p>
        </w:tc>
        <w:tc>
          <w:tcPr>
            <w:tcW w:type="dxa" w:w="44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Strategic conversations with the buyer class named in 6.2</w:t>
            </w:r>
          </w:p>
        </w:tc>
        <w:tc>
          <w:tcPr>
            <w:tcW w:type="dxa" w:w="39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The premium thesis is tested by the market, not by us</w:t>
            </w:r>
          </w:p>
        </w:tc>
      </w:tr>
    </w:tbl>
    <w:p>
      <w:pPr>
        <w:spacing w:after="120"/>
      </w:pPr>
    </w:p>
    <w:p>
      <w:pPr>
        <w:spacing w:after="140" w:line="300"/>
      </w:pPr>
      <w:r>
        <w:rPr>
          <w:rFonts w:ascii="Calibri" w:cs="Calibri" w:eastAsia="Calibri" w:hAnsi="Calibri"/>
          <w:i/>
          <w:iCs/>
          <w:sz w:val="22"/>
          <w:szCs w:val="22"/>
        </w:rPr>
        <w:t xml:space="preserve">Summary the council can repeat: </w:t>
      </w:r>
      <w:r>
        <w:rPr>
          <w:rFonts w:ascii="Calibri" w:cs="Calibri" w:eastAsia="Calibri" w:hAnsi="Calibri"/>
          <w:b/>
          <w:bCs/>
          <w:sz w:val="22"/>
          <w:szCs w:val="22"/>
        </w:rPr>
        <w:t xml:space="preserve">The fear is real; its name is fee-defense. The precedent is real; it is the Industrious structure, not the Industrious price. The premium is a thesis; the ladder earns it.</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Section 6 — Industrious argument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7. Landlord math — a VMA illustration the sponsor’s team will rebuild</w:t>
      </w:r>
    </w:p>
    <w:p>
      <w:pPr>
        <w:keepNext/>
        <w:pBdr>
          <w:left w:val="single" w:color="9A6A00" w:sz="24" w:space="8"/>
        </w:pBdr>
        <w:shd w:fill="F3F5F8" w:color="auto" w:val="clear"/>
        <w:spacing w:after="60" w:before="120" w:line="290"/>
        <w:ind w:left="200" w:right="200"/>
      </w:pPr>
      <w:r>
        <w:rPr>
          <w:rFonts w:ascii="Calibri" w:cs="Calibri" w:eastAsia="Calibri" w:hAnsi="Calibri"/>
          <w:b/>
          <w:bCs/>
          <w:caps/>
          <w:color w:val="9A6A00"/>
          <w:spacing w:val="20"/>
          <w:sz w:val="20"/>
          <w:szCs w:val="20"/>
        </w:rPr>
        <w:t xml:space="preserve">Label</w:t>
      </w:r>
    </w:p>
    <w:p>
      <w:pPr>
        <w:pBdr>
          <w:left w:val="single" w:color="9A6A00" w:sz="24" w:space="8"/>
        </w:pBdr>
        <w:shd w:fill="F3F5F8" w:color="auto" w:val="clear"/>
        <w:spacing w:after="160" w:line="290"/>
        <w:ind w:left="200" w:right="200"/>
      </w:pPr>
      <w:r>
        <w:rPr>
          <w:rFonts w:ascii="Calibri" w:cs="Calibri" w:eastAsia="Calibri" w:hAnsi="Calibri"/>
          <w:b/>
          <w:bCs/>
          <w:sz w:val="21"/>
          <w:szCs w:val="21"/>
        </w:rPr>
        <w:t xml:space="preserve">Illustrative only.</w:t>
      </w:r>
      <w:r>
        <w:rPr>
          <w:rFonts w:ascii="Calibri" w:cs="Calibri" w:eastAsia="Calibri" w:hAnsi="Calibri"/>
          <w:sz w:val="21"/>
          <w:szCs w:val="21"/>
        </w:rPr>
        <w:t xml:space="preserve"> One Box deliberately publishes no P&amp;L: “the founder points at the lines; the team the sponsor chooses builds the numbers.” This section respects that. It shows the </w:t>
      </w:r>
      <w:r>
        <w:rPr>
          <w:rFonts w:ascii="Calibri" w:cs="Calibri" w:eastAsia="Calibri" w:hAnsi="Calibri"/>
          <w:b/>
          <w:bCs/>
          <w:sz w:val="21"/>
          <w:szCs w:val="21"/>
        </w:rPr>
        <w:t xml:space="preserve">structure</w:t>
      </w:r>
      <w:r>
        <w:rPr>
          <w:rFonts w:ascii="Calibri" w:cs="Calibri" w:eastAsia="Calibri" w:hAnsi="Calibri"/>
          <w:sz w:val="21"/>
          <w:szCs w:val="21"/>
        </w:rPr>
        <w:t xml:space="preserve"> of the landlord’s return under Door 1 with placeholder venue figures, so a landlord CFO can see which lines depend on venue performance and which do not. ALA’s own targets ($5M+ ARR per flagship; ~5.4× NOI vs a single lease) are management projections and are not used. </w:t>
      </w:r>
      <w:r>
        <w:rPr>
          <w:rFonts w:ascii="Calibri" w:cs="Calibri" w:eastAsia="Calibri" w:hAnsi="Calibri"/>
          <w:b/>
          <w:bCs/>
          <w:color w:val="B5651D"/>
          <w:sz w:val="21"/>
          <w:szCs w:val="21"/>
        </w:rPr>
        <w:t xml:space="preserve">Council item 9.9 asks whether this section should be withheld until the sponsor’s team is in the room.</w:t>
      </w:r>
    </w:p>
    <w:p>
      <w:pPr>
        <w:pStyle w:val="Heading2"/>
        <w:spacing w:after="120" w:before="260"/>
      </w:pPr>
      <w:r>
        <w:rPr>
          <w:rFonts w:ascii="Georgia" w:cs="Georgia" w:eastAsia="Georgia" w:hAnsi="Georgia"/>
          <w:b/>
          <w:bCs/>
          <w:color w:val="0F2A44"/>
          <w:sz w:val="26"/>
          <w:szCs w:val="26"/>
        </w:rPr>
        <w:t xml:space="preserve">7.1 Set-up</w:t>
      </w:r>
    </w:p>
    <w:p>
      <w:pPr>
        <w:pStyle w:val="ListParagraph"/>
        <w:numPr>
          <w:ilvl w:val="0"/>
          <w:numId w:val="3"/>
        </w:numPr>
        <w:spacing w:after="90" w:line="290"/>
      </w:pPr>
      <w:r>
        <w:rPr>
          <w:rFonts w:ascii="Calibri" w:cs="Calibri" w:eastAsia="Calibri" w:hAnsi="Calibri"/>
          <w:sz w:val="22"/>
          <w:szCs w:val="22"/>
        </w:rPr>
        <w:t xml:space="preserve">A 140,000 sq ft former department store, dark two years, in a B-mall with 300,000 sq ft of inline space at $30 psf ($9.0M inline rent).</w:t>
      </w:r>
    </w:p>
    <w:p>
      <w:pPr>
        <w:pStyle w:val="ListParagraph"/>
        <w:numPr>
          <w:ilvl w:val="0"/>
          <w:numId w:val="3"/>
        </w:numPr>
        <w:spacing w:after="90" w:line="290"/>
      </w:pPr>
      <w:r>
        <w:rPr>
          <w:rFonts w:ascii="Calibri" w:cs="Calibri" w:eastAsia="Calibri" w:hAnsi="Calibri"/>
          <w:sz w:val="22"/>
          <w:szCs w:val="22"/>
        </w:rPr>
        <w:t xml:space="preserve">Carry on the dark box ≈ $2.50 psf ≈ $350K/yr. Co-tenancy leakage on the inline roll ≈ 10% ≈ $900K/yr.</w:t>
      </w:r>
    </w:p>
    <w:p>
      <w:pPr>
        <w:pStyle w:val="ListParagraph"/>
        <w:numPr>
          <w:ilvl w:val="0"/>
          <w:numId w:val="3"/>
        </w:numPr>
        <w:spacing w:after="90" w:line="290"/>
      </w:pPr>
      <w:r>
        <w:rPr>
          <w:rFonts w:ascii="Calibri" w:cs="Calibri" w:eastAsia="Calibri" w:hAnsi="Calibri"/>
          <w:sz w:val="22"/>
          <w:szCs w:val="22"/>
        </w:rPr>
        <w:t xml:space="preserve">Backfill benchmark: subdividing an anchor at the Seritage cost proxy (~$135–150 psf [34]) ≈ $19–21M of landlord capex for $12–20 psf of new rent, two to four years out.</w:t>
      </w:r>
    </w:p>
    <w:p>
      <w:pPr>
        <w:pStyle w:val="ListParagraph"/>
        <w:numPr>
          <w:ilvl w:val="0"/>
          <w:numId w:val="3"/>
        </w:numPr>
        <w:spacing w:after="90" w:line="290"/>
      </w:pPr>
      <w:r>
        <w:rPr>
          <w:rFonts w:ascii="Calibri" w:cs="Calibri" w:eastAsia="Calibri" w:hAnsi="Calibri"/>
          <w:sz w:val="22"/>
          <w:szCs w:val="22"/>
        </w:rPr>
        <w:t xml:space="preserve">Door 1: landlord capex $0; floor = trailing three-year average (low, since the box was dark); founding equity 20% (A) or 40% (E).</w:t>
      </w:r>
    </w:p>
    <w:p>
      <w:pPr>
        <w:pStyle w:val="Heading2"/>
        <w:spacing w:after="120" w:before="260"/>
      </w:pPr>
      <w:r>
        <w:rPr>
          <w:rFonts w:ascii="Georgia" w:cs="Georgia" w:eastAsia="Georgia" w:hAnsi="Georgia"/>
          <w:b/>
          <w:bCs/>
          <w:color w:val="0F2A44"/>
          <w:sz w:val="26"/>
          <w:szCs w:val="26"/>
        </w:rPr>
        <w:t xml:space="preserve">7.2 Three cases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1150"/>
        <w:gridCol w:w="1350"/>
        <w:gridCol w:w="1350"/>
        <w:gridCol w:w="2910"/>
      </w:tblGrid>
      <w:tr>
        <w:trPr>
          <w:tblHeader/>
        </w:trPr>
        <w:tc>
          <w:tcPr>
            <w:tcW w:type="dxa" w:w="26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Line (annual)</w:t>
            </w:r>
          </w:p>
        </w:tc>
        <w:tc>
          <w:tcPr>
            <w:tcW w:type="dxa" w:w="115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Bear</w:t>
            </w:r>
          </w:p>
        </w:tc>
        <w:tc>
          <w:tcPr>
            <w:tcW w:type="dxa" w:w="135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Base</w:t>
            </w:r>
          </w:p>
        </w:tc>
        <w:tc>
          <w:tcPr>
            <w:tcW w:type="dxa" w:w="135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Bull</w:t>
            </w:r>
          </w:p>
        </w:tc>
        <w:tc>
          <w:tcPr>
            <w:tcW w:type="dxa" w:w="291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Note</w:t>
            </w:r>
          </w:p>
        </w:tc>
      </w:tr>
      <w:tr>
        <w:trPr>
          <w:cantSplit/>
        </w:trPr>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Venue distributable cash (placeholder)</w:t>
            </w:r>
          </w:p>
        </w:tc>
        <w:tc>
          <w:tcPr>
            <w:tcW w:type="dxa" w:w="11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$1.0M</w:t>
            </w:r>
          </w:p>
        </w:tc>
        <w:tc>
          <w:tcPr>
            <w:tcW w:type="dxa" w:w="13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$2.5M</w:t>
            </w:r>
          </w:p>
        </w:tc>
        <w:tc>
          <w:tcPr>
            <w:tcW w:type="dxa" w:w="13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$5.0M</w:t>
            </w:r>
          </w:p>
        </w:tc>
        <w:tc>
          <w:tcPr>
            <w:tcW w:type="dxa" w:w="29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Not a forecast.</w:t>
            </w:r>
          </w:p>
        </w:tc>
      </w:tr>
      <w:tr>
        <w:trPr>
          <w:cantSplit/>
        </w:trPr>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Landlord equity share @ 20%</w:t>
            </w:r>
          </w:p>
        </w:tc>
        <w:tc>
          <w:tcPr>
            <w:tcW w:type="dxa" w:w="11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$0.20M</w:t>
            </w:r>
          </w:p>
        </w:tc>
        <w:tc>
          <w:tcPr>
            <w:tcW w:type="dxa" w:w="13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$0.50M</w:t>
            </w:r>
          </w:p>
        </w:tc>
        <w:tc>
          <w:tcPr>
            <w:tcW w:type="dxa" w:w="13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$1.00M</w:t>
            </w:r>
          </w:p>
        </w:tc>
        <w:tc>
          <w:tcPr>
            <w:tcW w:type="dxa" w:w="29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Document A split.</w:t>
            </w:r>
          </w:p>
        </w:tc>
      </w:tr>
      <w:tr>
        <w:trPr>
          <w:cantSplit/>
        </w:trPr>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Landlord equity share @ 40%</w:t>
            </w:r>
          </w:p>
        </w:tc>
        <w:tc>
          <w:tcPr>
            <w:tcW w:type="dxa" w:w="11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$0.40M</w:t>
            </w:r>
          </w:p>
        </w:tc>
        <w:tc>
          <w:tcPr>
            <w:tcW w:type="dxa" w:w="13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$1.00M</w:t>
            </w:r>
          </w:p>
        </w:tc>
        <w:tc>
          <w:tcPr>
            <w:tcW w:type="dxa" w:w="13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$2.00M</w:t>
            </w:r>
          </w:p>
        </w:tc>
        <w:tc>
          <w:tcPr>
            <w:tcW w:type="dxa" w:w="29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Document E split.</w:t>
            </w:r>
          </w:p>
        </w:tc>
      </w:tr>
      <w:tr>
        <w:trPr>
          <w:cantSplit/>
        </w:trPr>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Co-tenancy cure</w:t>
            </w:r>
          </w:p>
        </w:tc>
        <w:tc>
          <w:tcPr>
            <w:tcW w:type="dxa" w:w="11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+$0.90M</w:t>
            </w:r>
          </w:p>
        </w:tc>
        <w:tc>
          <w:tcPr>
            <w:tcW w:type="dxa" w:w="13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+$0.90M</w:t>
            </w:r>
          </w:p>
        </w:tc>
        <w:tc>
          <w:tcPr>
            <w:tcW w:type="dxa" w:w="13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+$0.90M</w:t>
            </w:r>
          </w:p>
        </w:tc>
        <w:tc>
          <w:tcPr>
            <w:tcW w:type="dxa" w:w="29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Independent of venue performance. Also accrues to the mall owner under Door 2.</w:t>
            </w:r>
          </w:p>
        </w:tc>
      </w:tr>
      <w:tr>
        <w:trPr>
          <w:cantSplit/>
        </w:trPr>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Carry avoided</w:t>
            </w:r>
          </w:p>
        </w:tc>
        <w:tc>
          <w:tcPr>
            <w:tcW w:type="dxa" w:w="11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+$0.35M</w:t>
            </w:r>
          </w:p>
        </w:tc>
        <w:tc>
          <w:tcPr>
            <w:tcW w:type="dxa" w:w="13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+$0.35M</w:t>
            </w:r>
          </w:p>
        </w:tc>
        <w:tc>
          <w:tcPr>
            <w:tcW w:type="dxa" w:w="13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+$0.35M</w:t>
            </w:r>
          </w:p>
        </w:tc>
        <w:tc>
          <w:tcPr>
            <w:tcW w:type="dxa" w:w="29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Independent of venue performance.</w:t>
            </w:r>
          </w:p>
        </w:tc>
      </w:tr>
      <w:tr>
        <w:trPr>
          <w:cantSplit/>
        </w:trPr>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Inline halo (renewal uplift)</w:t>
            </w:r>
          </w:p>
        </w:tc>
        <w:tc>
          <w:tcPr>
            <w:tcW w:type="dxa" w:w="11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w:t>
            </w:r>
          </w:p>
        </w:tc>
        <w:tc>
          <w:tcPr>
            <w:tcW w:type="dxa" w:w="13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+3% = $0.27M</w:t>
            </w:r>
          </w:p>
        </w:tc>
        <w:tc>
          <w:tcPr>
            <w:tcW w:type="dxa" w:w="13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+6% = $0.54M</w:t>
            </w:r>
          </w:p>
        </w:tc>
        <w:tc>
          <w:tcPr>
            <w:tcW w:type="dxa" w:w="29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Destination anchor vs dark anchor.</w:t>
            </w:r>
          </w:p>
        </w:tc>
      </w:tr>
      <w:tr>
        <w:trPr>
          <w:cantSplit/>
        </w:trPr>
        <w:tc>
          <w:tcPr>
            <w:tcW w:type="dxa" w:w="26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Landlord delta @ 20%</w:t>
            </w:r>
          </w:p>
        </w:tc>
        <w:tc>
          <w:tcPr>
            <w:tcW w:type="dxa" w:w="115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$1.45M</w:t>
            </w:r>
          </w:p>
        </w:tc>
        <w:tc>
          <w:tcPr>
            <w:tcW w:type="dxa" w:w="135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$2.02M</w:t>
            </w:r>
          </w:p>
        </w:tc>
        <w:tc>
          <w:tcPr>
            <w:tcW w:type="dxa" w:w="135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$2.79M</w:t>
            </w:r>
          </w:p>
        </w:tc>
        <w:tc>
          <w:tcPr>
            <w:tcW w:type="dxa" w:w="291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Versus a box contributing about –$1.25M today.</w:t>
            </w:r>
          </w:p>
        </w:tc>
      </w:tr>
      <w:tr>
        <w:trPr>
          <w:cantSplit/>
        </w:trPr>
        <w:tc>
          <w:tcPr>
            <w:tcW w:type="dxa" w:w="260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Capitalized at a 10% B-mall cap rate</w:t>
            </w:r>
          </w:p>
        </w:tc>
        <w:tc>
          <w:tcPr>
            <w:tcW w:type="dxa" w:w="115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 $14.5M</w:t>
            </w:r>
          </w:p>
        </w:tc>
        <w:tc>
          <w:tcPr>
            <w:tcW w:type="dxa" w:w="135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 $20M</w:t>
            </w:r>
          </w:p>
        </w:tc>
        <w:tc>
          <w:tcPr>
            <w:tcW w:type="dxa" w:w="135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bCs/>
                <w:color w:val="222222"/>
                <w:sz w:val="19"/>
                <w:szCs w:val="19"/>
              </w:rPr>
              <w:t xml:space="preserve">≈ $28M</w:t>
            </w:r>
          </w:p>
        </w:tc>
        <w:tc>
          <w:tcPr>
            <w:tcW w:type="dxa" w:w="2910"/>
            <w:tcBorders>
              <w:top w:val="single" w:color="C9CED6" w:sz="4"/>
              <w:left w:val="single" w:color="C9CED6" w:sz="4"/>
              <w:bottom w:val="single" w:color="C9CED6" w:sz="4"/>
              <w:right w:val="single" w:color="C9CED6" w:sz="4"/>
            </w:tcBorders>
            <w:shd w:fill="FBF4EC" w:color="auto" w:val="clear"/>
            <w:tcMar>
              <w:top w:type="dxa" w:w="70"/>
              <w:left w:type="dxa" w:w="100"/>
              <w:bottom w:type="dxa" w:w="70"/>
              <w:right w:type="dxa" w:w="100"/>
            </w:tcMar>
          </w:tcPr>
          <w:p>
            <w:pPr>
              <w:spacing w:after="40" w:line="260"/>
            </w:pPr>
            <w:r>
              <w:rPr>
                <w:rFonts w:ascii="Calibri" w:cs="Calibri" w:eastAsia="Calibri" w:hAnsi="Calibri"/>
                <w:b w:val="false"/>
                <w:bCs w:val="false"/>
                <w:color w:val="B5651D"/>
                <w:sz w:val="19"/>
                <w:szCs w:val="19"/>
              </w:rPr>
              <w:t xml:space="preserve">On a box that cost $0 to contribute.</w:t>
            </w:r>
          </w:p>
        </w:tc>
      </w:tr>
      <w:tr>
        <w:trPr>
          <w:cantSplit/>
        </w:trPr>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Landlord cash at risk</w:t>
            </w:r>
          </w:p>
        </w:tc>
        <w:tc>
          <w:tcPr>
            <w:tcW w:type="dxa" w:w="11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w:t>
            </w:r>
          </w:p>
        </w:tc>
        <w:tc>
          <w:tcPr>
            <w:tcW w:type="dxa" w:w="13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w:t>
            </w:r>
          </w:p>
        </w:tc>
        <w:tc>
          <w:tcPr>
            <w:tcW w:type="dxa" w:w="13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$0</w:t>
            </w:r>
          </w:p>
        </w:tc>
        <w:tc>
          <w:tcPr>
            <w:tcW w:type="dxa" w:w="29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Floor guaranteed by operator; fit-out by Capital Partner.</w:t>
            </w:r>
          </w:p>
        </w:tc>
      </w:tr>
    </w:tbl>
    <w:p>
      <w:pPr>
        <w:spacing w:after="120"/>
      </w:pPr>
    </w:p>
    <w:p>
      <w:pPr>
        <w:pStyle w:val="ListParagraph"/>
        <w:numPr>
          <w:ilvl w:val="0"/>
          <w:numId w:val="3"/>
        </w:numPr>
        <w:spacing w:after="90" w:line="290"/>
      </w:pPr>
      <w:r>
        <w:rPr>
          <w:rFonts w:ascii="Calibri" w:cs="Calibri" w:eastAsia="Calibri" w:hAnsi="Calibri"/>
          <w:b/>
          <w:bCs/>
          <w:sz w:val="22"/>
          <w:szCs w:val="22"/>
        </w:rPr>
        <w:t xml:space="preserve">The equity line is smallest in Bear and largest in Bull — that is what makes it equity.</w:t>
      </w:r>
      <w:r>
        <w:rPr>
          <w:rFonts w:ascii="Calibri" w:cs="Calibri" w:eastAsia="Calibri" w:hAnsi="Calibri"/>
          <w:sz w:val="22"/>
          <w:szCs w:val="22"/>
        </w:rPr>
        <w:t xml:space="preserve"> The downside is carried by three lines that do not depend on the venue: co-tenancy cure, carry avoided, the floor.</w:t>
      </w:r>
    </w:p>
    <w:p>
      <w:pPr>
        <w:pStyle w:val="ListParagraph"/>
        <w:numPr>
          <w:ilvl w:val="0"/>
          <w:numId w:val="3"/>
        </w:numPr>
        <w:spacing w:after="90" w:line="290"/>
      </w:pPr>
      <w:r>
        <w:rPr>
          <w:rFonts w:ascii="Calibri" w:cs="Calibri" w:eastAsia="Calibri" w:hAnsi="Calibri"/>
          <w:b/>
          <w:bCs/>
          <w:sz w:val="22"/>
          <w:szCs w:val="22"/>
        </w:rPr>
        <w:t xml:space="preserve">Under Door 2 the mall owner receives the first two of those three lines for free</w:t>
      </w:r>
      <w:r>
        <w:rPr>
          <w:rFonts w:ascii="Calibri" w:cs="Calibri" w:eastAsia="Calibri" w:hAnsi="Calibri"/>
          <w:sz w:val="22"/>
          <w:szCs w:val="22"/>
        </w:rPr>
        <w:t xml:space="preserve"> — a live anchor next door cures its co-tenancy and ends its carry — which is why the REA amendment in Section 5.2 is a trade, not a favour.</w:t>
      </w:r>
    </w:p>
    <w:p>
      <w:pPr>
        <w:pStyle w:val="ListParagraph"/>
        <w:numPr>
          <w:ilvl w:val="0"/>
          <w:numId w:val="3"/>
        </w:numPr>
        <w:spacing w:after="90" w:line="290"/>
      </w:pPr>
      <w:r>
        <w:rPr>
          <w:rFonts w:ascii="Calibri" w:cs="Calibri" w:eastAsia="Calibri" w:hAnsi="Calibri"/>
          <w:b/>
          <w:bCs/>
          <w:sz w:val="22"/>
          <w:szCs w:val="22"/>
        </w:rPr>
        <w:t xml:space="preserve">Against doing nothing, the comparison is the maturity wall.</w:t>
      </w:r>
      <w:r>
        <w:rPr>
          <w:rFonts w:ascii="Calibri" w:cs="Calibri" w:eastAsia="Calibri" w:hAnsi="Calibri"/>
          <w:sz w:val="22"/>
          <w:szCs w:val="22"/>
        </w:rPr>
        <w:t xml:space="preserve"> A lender in 2026 chooses between extension and resolution [4][5]. A signed operating agreement with a floor guarantee is a resolution story; a dark box is not.</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Section 7 — illustration (publish / withhold)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8. The council’s own examination — ten questions</w:t>
      </w:r>
    </w:p>
    <w:p>
      <w:pPr>
        <w:spacing w:after="140" w:line="300"/>
      </w:pPr>
      <w:r>
        <w:rPr>
          <w:rFonts w:ascii="Calibri" w:cs="Calibri" w:eastAsia="Calibri" w:hAnsi="Calibri"/>
          <w:sz w:val="22"/>
          <w:szCs w:val="22"/>
        </w:rPr>
        <w:t xml:space="preserve">“Before entrustment comes examination — and it begins with ours.” These are the questions a REIT board, a CMBS special servicer, a tax counsel or an alliance candidate will ask. The council should be able to answer each in one breath, and should agree the answer before anyone else asks.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
        <w:gridCol w:w="2600"/>
        <w:gridCol w:w="6310"/>
      </w:tblGrid>
      <w:tr>
        <w:trPr>
          <w:tblHeader/>
        </w:trPr>
        <w:tc>
          <w:tcPr>
            <w:tcW w:type="dxa" w:w="45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t>
            </w:r>
          </w:p>
        </w:tc>
        <w:tc>
          <w:tcPr>
            <w:tcW w:type="dxa" w:w="26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Question</w:t>
            </w:r>
          </w:p>
        </w:tc>
        <w:tc>
          <w:tcPr>
            <w:tcW w:type="dxa" w:w="631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Answer the council can give</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1</w:t>
            </w:r>
          </w:p>
        </w:tc>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“Who is the operator? There is no U.S. venue yet.”</w:t>
            </w:r>
          </w:p>
        </w:tc>
        <w:tc>
          <w:tcPr>
            <w:tcW w:type="dxa" w:w="63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True; the Field Thesis says so. Mitigants: 30 years, 10,000+ concession units, 8 countries, a JCDecaux exit; floor guarantee moves downside to the operator; Capital Partner funds fit-out; pilot-first. The One Box incubation model — see everything, stop anything, run nothing — exists precisely because the founder is new to this country. Verifiability is the scarcest asset in a loud market; lead with it.</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2</w:t>
            </w:r>
          </w:p>
        </w:tc>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“Our lender will not consent” (Door 1) / “The servicer wants a clean sale” (Door 2).</w:t>
            </w:r>
          </w:p>
        </w:tc>
        <w:tc>
          <w:tcPr>
            <w:tcW w:type="dxa" w:w="63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Door 1: structure as licence/management agreement with SNDA; the floor preserves DSCR; the 2026 lender wants a resolution, not a fifth extension [4]. Door 2: that is the point — the note or REO is bought after the write-off; REA and co-tenancy are resolved before closing.</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3</w:t>
            </w:r>
          </w:p>
        </w:tc>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“REIT income tests” (Door 1).</w:t>
            </w:r>
          </w:p>
        </w:tc>
        <w:tc>
          <w:tcPr>
            <w:tcW w:type="dxa" w:w="63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Distributions from an operating C-corporation are not rents from real property for the 75% test, and rent from a &gt;10%-owned tenant is generally excluded. Structuring item, not blocker: TRS (within the asset cap) or qualifying floor rent plus participation. Hotel REITs solved exactly this after the 1999 REIT Modernization Act. Tax counsel from day one.</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4</w:t>
            </w:r>
          </w:p>
        </w:tc>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“The box isn’t the mall’s — it is a non-collateral anchor.”</w:t>
            </w:r>
          </w:p>
        </w:tc>
        <w:tc>
          <w:tcPr>
            <w:tcW w:type="dxa" w:w="63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Often true [38]. Then Door 2 applies directly (buy from the department store or its lender), or Door 1 becomes the exit story that justifies the mall owner buying the box. Macy’s is a seller.</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5</w:t>
            </w:r>
          </w:p>
        </w:tc>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“Existing leases have exclusives and common-area restrictions.”</w:t>
            </w:r>
          </w:p>
        </w:tc>
        <w:tc>
          <w:tcPr>
            <w:tcW w:type="dxa" w:w="63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Real [30]. Re-papering is ground-holder work (5.1) or REA work (5.2). A live anchor cures co-tenancy, which is worth more to inline tenants than any exclusive.</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6</w:t>
            </w:r>
          </w:p>
        </w:tc>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“Data and privacy.”</w:t>
            </w:r>
          </w:p>
        </w:tc>
        <w:tc>
          <w:tcPr>
            <w:tcW w:type="dxa" w:w="63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HuxNet is opt-in and privacy-first; the ground-holder keeps a written approval list; state privacy statutes are handled daily by every retail media network.</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7</w:t>
            </w:r>
          </w:p>
        </w:tc>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“It cannibalizes inline tenants.”</w:t>
            </w:r>
          </w:p>
        </w:tc>
        <w:tc>
          <w:tcPr>
            <w:tcW w:type="dxa" w:w="63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Different supply: makers, DTC and international brands priced out of channels one and two; sponsors take a category-exclusive seat; inline gets the traffic.</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8</w:t>
            </w:r>
          </w:p>
        </w:tc>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“What if it fails?”</w:t>
            </w:r>
          </w:p>
        </w:tc>
        <w:tc>
          <w:tcPr>
            <w:tcW w:type="dxa" w:w="63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Floor guaranteed (Door 1); Bucket 1 pool credit-enhanced and Bucket 2 reserve beneath it (Door 2); modular fixtures redeploy; the box returns as an improved, powered shell; 90-day fit-out means low sunk cost.</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9</w:t>
            </w:r>
          </w:p>
        </w:tc>
        <w:tc>
          <w:tcPr>
            <w:tcW w:type="dxa" w:w="26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“Why not do it ourselves?”</w:t>
            </w:r>
          </w:p>
        </w:tc>
        <w:tc>
          <w:tcPr>
            <w:tcW w:type="dxa" w:w="63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Because the business malls are in is collecting rent — said on the record by a mall CEO explaining why Simon buys retailers [33]; uniformity is enforced by underwriting; Seritage is the case study; and a seven-line venue run by hand hollowed out every themed-destination retailer.</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10</w:t>
            </w:r>
          </w:p>
        </w:tc>
        <w:tc>
          <w:tcPr>
            <w:tcW w:type="dxa" w:w="26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“Why now, and why this split?”</w:t>
            </w:r>
          </w:p>
        </w:tc>
        <w:tc>
          <w:tcPr>
            <w:tcW w:type="dxa" w:w="63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8"/>
                <w:szCs w:val="18"/>
              </w:rPr>
              <w:t xml:space="preserve">Because 2026 is the year extension ends [4][5]; retail is at the front of the CMBS queue; old mall paper is 96% delinquent [9]; in-store media is growing 33% from nothing [27]; and under Door 1 the contribution costs no cash. The split is council item 9.2 — but the seat is scarce: one U.S. ally.</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Section 8 — agreed answers</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pPr>
        <w:pStyle w:val="Heading1"/>
        <w:pBdr>
          <w:bottom w:val="single" w:color="B5651D" w:sz="6" w:space="4"/>
        </w:pBdr>
        <w:spacing w:after="180" w:before="360"/>
      </w:pPr>
      <w:r>
        <w:rPr>
          <w:rFonts w:ascii="Georgia" w:cs="Georgia" w:eastAsia="Georgia" w:hAnsi="Georgia"/>
          <w:b/>
          <w:bCs/>
          <w:color w:val="0F2A44"/>
          <w:sz w:val="34"/>
          <w:szCs w:val="34"/>
        </w:rPr>
        <w:t xml:space="preserve">9. Council decision register</w:t>
      </w:r>
    </w:p>
    <w:p>
      <w:pPr>
        <w:spacing w:after="140" w:line="300"/>
      </w:pPr>
      <w:r>
        <w:rPr>
          <w:rFonts w:ascii="Calibri" w:cs="Calibri" w:eastAsia="Calibri" w:hAnsi="Calibri"/>
          <w:sz w:val="22"/>
          <w:szCs w:val="22"/>
        </w:rPr>
        <w:t xml:space="preserve">Every point on which the five documents differ, or on which field observation and open source diverge, is listed here as a decision. None is an error. Each is a viewpoint produced by fieldwork, placed beside its public counterpart, with the options the council can choose between. The register is the council’s agenda for Volume 1.</w:t>
      </w:r>
    </w:p>
    <w:p>
      <w:pPr>
        <w:pStyle w:val="Heading3"/>
        <w:spacing w:after="80" w:before="200"/>
      </w:pPr>
      <w:r>
        <w:rPr>
          <w:rFonts w:ascii="Calibri" w:cs="Calibri" w:eastAsia="Calibri" w:hAnsi="Calibri"/>
          <w:b/>
          <w:bCs/>
          <w:color w:val="B5651D"/>
          <w:sz w:val="23"/>
          <w:szCs w:val="23"/>
        </w:rPr>
        <w:t xml:space="preserve">9.1 · RevPAM — metre or member?</w:t>
      </w:r>
    </w:p>
    <w:p>
      <w:pPr>
        <w:spacing w:after="140" w:line="300"/>
      </w:pPr>
      <w:r>
        <w:rPr>
          <w:rFonts w:ascii="Calibri" w:cs="Calibri" w:eastAsia="Calibri" w:hAnsi="Calibri"/>
          <w:b/>
          <w:bCs/>
          <w:color w:val="0F2A44"/>
          <w:sz w:val="22"/>
          <w:szCs w:val="22"/>
        </w:rPr>
        <w:t xml:space="preserve">FIELD. </w:t>
      </w:r>
      <w:r>
        <w:rPr>
          <w:rFonts w:ascii="Calibri" w:cs="Calibri" w:eastAsia="Calibri" w:hAnsi="Calibri"/>
          <w:sz w:val="22"/>
          <w:szCs w:val="22"/>
        </w:rPr>
        <w:t xml:space="preserve">Document B defines RevPAM as revenue per available metre (hotel analogy, space yield). Document D defines it as revenue per available member (MemberCo architecture, membership yield). Both came out of the same fieldwork.</w:t>
      </w:r>
    </w:p>
    <w:p>
      <w:pPr>
        <w:spacing w:after="140" w:line="300"/>
      </w:pPr>
      <w:r>
        <w:rPr>
          <w:rFonts w:ascii="Calibri" w:cs="Calibri" w:eastAsia="Calibri" w:hAnsi="Calibri"/>
          <w:b/>
          <w:bCs/>
          <w:color w:val="1F6B3A"/>
          <w:sz w:val="22"/>
          <w:szCs w:val="22"/>
        </w:rPr>
        <w:t xml:space="preserve">OPEN SOURCE. </w:t>
      </w:r>
      <w:r>
        <w:rPr>
          <w:rFonts w:ascii="Calibri" w:cs="Calibri" w:eastAsia="Calibri" w:hAnsi="Calibri"/>
          <w:sz w:val="22"/>
          <w:szCs w:val="22"/>
        </w:rPr>
        <w:t xml:space="preserve">Hotels price the physical unit (RevPAR); membership operators (flex workspace, fitness) report revenue per member or ARPU alongside the physical unit. Lenders reading a net-lease pool will look at contracted income per square foot; sponsors and brands will look at members reached.</w:t>
      </w:r>
    </w:p>
    <w:p>
      <w:pPr>
        <w:spacing w:after="140" w:line="300"/>
      </w:pPr>
      <w:r>
        <w:rPr>
          <w:rFonts w:ascii="Calibri" w:cs="Calibri" w:eastAsia="Calibri" w:hAnsi="Calibri"/>
          <w:b/>
          <w:bCs/>
          <w:color w:val="B5651D"/>
          <w:sz w:val="22"/>
          <w:szCs w:val="22"/>
        </w:rPr>
        <w:t xml:space="preserve">Options. </w:t>
      </w:r>
      <w:r>
        <w:rPr>
          <w:rFonts w:ascii="Calibri" w:cs="Calibri" w:eastAsia="Calibri" w:hAnsi="Calibri"/>
          <w:sz w:val="22"/>
          <w:szCs w:val="22"/>
        </w:rPr>
        <w:t xml:space="preserve">A · Choose one. B · Keep both, assigned to different companies: RevPAM-metre as the PropCo/OpCo KPI, RevPAM-member as the MemberCo KPI, each defined once in the handbook glossary. C · Rename one to avoid the shared acronym.</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Item 9.1</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pPr>
        <w:spacing w:after="60"/>
      </w:pPr>
    </w:p>
    <w:p>
      <w:pPr>
        <w:pStyle w:val="Heading3"/>
        <w:spacing w:after="80" w:before="200"/>
      </w:pPr>
      <w:r>
        <w:rPr>
          <w:rFonts w:ascii="Calibri" w:cs="Calibri" w:eastAsia="Calibri" w:hAnsi="Calibri"/>
          <w:b/>
          <w:bCs/>
          <w:color w:val="B5651D"/>
          <w:sz w:val="23"/>
          <w:szCs w:val="23"/>
        </w:rPr>
        <w:t xml:space="preserve">9.2 · Landlord founding equity — 20% or 40%?</w:t>
      </w:r>
    </w:p>
    <w:p>
      <w:pPr>
        <w:spacing w:after="140" w:line="300"/>
      </w:pPr>
      <w:r>
        <w:rPr>
          <w:rFonts w:ascii="Calibri" w:cs="Calibri" w:eastAsia="Calibri" w:hAnsi="Calibri"/>
          <w:b/>
          <w:bCs/>
          <w:color w:val="0F2A44"/>
          <w:sz w:val="22"/>
          <w:szCs w:val="22"/>
        </w:rPr>
        <w:t xml:space="preserve">FIELD. </w:t>
      </w:r>
      <w:r>
        <w:rPr>
          <w:rFonts w:ascii="Calibri" w:cs="Calibri" w:eastAsia="Calibri" w:hAnsi="Calibri"/>
          <w:sz w:val="22"/>
          <w:szCs w:val="22"/>
        </w:rPr>
        <w:t xml:space="preserve">Document A: 20% founding equity in place of rent. Document E: 40% to the landlord, 20% to a Capital Partner, balance to the operator.</w:t>
      </w:r>
    </w:p>
    <w:p>
      <w:pPr>
        <w:spacing w:after="140" w:line="300"/>
      </w:pPr>
      <w:r>
        <w:rPr>
          <w:rFonts w:ascii="Calibri" w:cs="Calibri" w:eastAsia="Calibri" w:hAnsi="Calibri"/>
          <w:b/>
          <w:bCs/>
          <w:color w:val="1F6B3A"/>
          <w:sz w:val="22"/>
          <w:szCs w:val="22"/>
        </w:rPr>
        <w:t xml:space="preserve">OPEN SOURCE. </w:t>
      </w:r>
      <w:r>
        <w:rPr>
          <w:rFonts w:ascii="Calibri" w:cs="Calibri" w:eastAsia="Calibri" w:hAnsi="Calibri"/>
          <w:sz w:val="22"/>
          <w:szCs w:val="22"/>
        </w:rPr>
        <w:t xml:space="preserve">Simon/Brookfield took JCPenney 50/50 and sold 16.67% to ABG; CBRE went from 40% to 100% of Industrious. Owner/operator equity splits in the 20–50% band are market-precedented [32][39].</w:t>
      </w:r>
    </w:p>
    <w:p>
      <w:pPr>
        <w:spacing w:after="140" w:line="300"/>
      </w:pPr>
      <w:r>
        <w:rPr>
          <w:rFonts w:ascii="Calibri" w:cs="Calibri" w:eastAsia="Calibri" w:hAnsi="Calibri"/>
          <w:b/>
          <w:bCs/>
          <w:color w:val="B5651D"/>
          <w:sz w:val="22"/>
          <w:szCs w:val="22"/>
        </w:rPr>
        <w:t xml:space="preserve">Options. </w:t>
      </w:r>
      <w:r>
        <w:rPr>
          <w:rFonts w:ascii="Calibri" w:cs="Calibri" w:eastAsia="Calibri" w:hAnsi="Calibri"/>
          <w:sz w:val="22"/>
          <w:szCs w:val="22"/>
        </w:rPr>
        <w:t xml:space="preserve">A · Fixed rate. B · A band in the Charter (e.g., 20–40%) set per asset by contribution value. C · Sliding scale tied to the box’s appraised post-write-off value.</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Item 9.2</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pPr>
        <w:spacing w:after="60"/>
      </w:pPr>
    </w:p>
    <w:p>
      <w:pPr>
        <w:pStyle w:val="Heading3"/>
        <w:spacing w:after="80" w:before="200"/>
      </w:pPr>
      <w:r>
        <w:rPr>
          <w:rFonts w:ascii="Calibri" w:cs="Calibri" w:eastAsia="Calibri" w:hAnsi="Calibri"/>
          <w:b/>
          <w:bCs/>
          <w:color w:val="B5651D"/>
          <w:sz w:val="23"/>
          <w:szCs w:val="23"/>
        </w:rPr>
        <w:t xml:space="preserve">9.3 · Which door, per asset?</w:t>
      </w:r>
    </w:p>
    <w:p>
      <w:pPr>
        <w:spacing w:after="140" w:line="300"/>
      </w:pPr>
      <w:r>
        <w:rPr>
          <w:rFonts w:ascii="Calibri" w:cs="Calibri" w:eastAsia="Calibri" w:hAnsi="Calibri"/>
          <w:b/>
          <w:bCs/>
          <w:color w:val="0F2A44"/>
          <w:sz w:val="22"/>
          <w:szCs w:val="22"/>
        </w:rPr>
        <w:t xml:space="preserve">FIELD. </w:t>
      </w:r>
      <w:r>
        <w:rPr>
          <w:rFonts w:ascii="Calibri" w:cs="Calibri" w:eastAsia="Calibri" w:hAnsi="Calibri"/>
          <w:sz w:val="22"/>
          <w:szCs w:val="22"/>
        </w:rPr>
        <w:t xml:space="preserve">Documents A/E assume contribution by a solvent owner; Documents C/D assume purchase from a special servicer after the write-off.</w:t>
      </w:r>
    </w:p>
    <w:p>
      <w:pPr>
        <w:spacing w:after="140" w:line="300"/>
      </w:pPr>
      <w:r>
        <w:rPr>
          <w:rFonts w:ascii="Calibri" w:cs="Calibri" w:eastAsia="Calibri" w:hAnsi="Calibri"/>
          <w:b/>
          <w:bCs/>
          <w:color w:val="1F6B3A"/>
          <w:sz w:val="22"/>
          <w:szCs w:val="22"/>
        </w:rPr>
        <w:t xml:space="preserve">OPEN SOURCE. </w:t>
      </w:r>
      <w:r>
        <w:rPr>
          <w:rFonts w:ascii="Calibri" w:cs="Calibri" w:eastAsia="Calibri" w:hAnsi="Calibri"/>
          <w:sz w:val="22"/>
          <w:szCs w:val="22"/>
        </w:rPr>
        <w:t xml:space="preserve">Top-tier boxes have their audience back [21]; Class B/C boxes are outside the CMBS mandate and being sold at 70–80% severities [10][12]. The two doors map onto two different asset universes.</w:t>
      </w:r>
    </w:p>
    <w:p>
      <w:pPr>
        <w:spacing w:after="140" w:line="300"/>
      </w:pPr>
      <w:r>
        <w:rPr>
          <w:rFonts w:ascii="Calibri" w:cs="Calibri" w:eastAsia="Calibri" w:hAnsi="Calibri"/>
          <w:b/>
          <w:bCs/>
          <w:color w:val="B5651D"/>
          <w:sz w:val="22"/>
          <w:szCs w:val="22"/>
        </w:rPr>
        <w:t xml:space="preserve">Options. </w:t>
      </w:r>
      <w:r>
        <w:rPr>
          <w:rFonts w:ascii="Calibri" w:cs="Calibri" w:eastAsia="Calibri" w:hAnsi="Calibri"/>
          <w:sz w:val="22"/>
          <w:szCs w:val="22"/>
        </w:rPr>
        <w:t xml:space="preserve">A · Adopt a decision rule: Door 1 where the owner is solvent and the box is owner-controlled; Door 2 where the loan is written off or the box is non-collateral. B · Prefer one door for the first venue and keep the other in reserve.</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Item 9.3</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pPr>
        <w:spacing w:after="60"/>
      </w:pPr>
    </w:p>
    <w:p>
      <w:pPr>
        <w:pStyle w:val="Heading3"/>
        <w:spacing w:after="80" w:before="200"/>
      </w:pPr>
      <w:r>
        <w:rPr>
          <w:rFonts w:ascii="Calibri" w:cs="Calibri" w:eastAsia="Calibri" w:hAnsi="Calibri"/>
          <w:b/>
          <w:bCs/>
          <w:color w:val="B5651D"/>
          <w:sz w:val="23"/>
          <w:szCs w:val="23"/>
        </w:rPr>
        <w:t xml:space="preserve">9.4 · “Not a REIT” (C) versus PEIT (A, B, E).</w:t>
      </w:r>
    </w:p>
    <w:p>
      <w:pPr>
        <w:spacing w:after="140" w:line="300"/>
      </w:pPr>
      <w:r>
        <w:rPr>
          <w:rFonts w:ascii="Calibri" w:cs="Calibri" w:eastAsia="Calibri" w:hAnsi="Calibri"/>
          <w:b/>
          <w:bCs/>
          <w:color w:val="0F2A44"/>
          <w:sz w:val="22"/>
          <w:szCs w:val="22"/>
        </w:rPr>
        <w:t xml:space="preserve">FIELD. </w:t>
      </w:r>
      <w:r>
        <w:rPr>
          <w:rFonts w:ascii="Calibri" w:cs="Calibri" w:eastAsia="Calibri" w:hAnsi="Calibri"/>
          <w:sz w:val="22"/>
          <w:szCs w:val="22"/>
        </w:rPr>
        <w:t xml:space="preserve">Document C opens with “not a REIT or a mall operator”; Documents A, B and E name the PEIT as the capital wrapper.</w:t>
      </w:r>
    </w:p>
    <w:p>
      <w:pPr>
        <w:spacing w:after="140" w:line="300"/>
      </w:pPr>
      <w:r>
        <w:rPr>
          <w:rFonts w:ascii="Calibri" w:cs="Calibri" w:eastAsia="Calibri" w:hAnsi="Calibri"/>
          <w:b/>
          <w:bCs/>
          <w:color w:val="1F6B3A"/>
          <w:sz w:val="22"/>
          <w:szCs w:val="22"/>
        </w:rPr>
        <w:t xml:space="preserve">OPEN SOURCE. </w:t>
      </w:r>
      <w:r>
        <w:rPr>
          <w:rFonts w:ascii="Calibri" w:cs="Calibri" w:eastAsia="Calibri" w:hAnsi="Calibri"/>
          <w:sz w:val="22"/>
          <w:szCs w:val="22"/>
        </w:rPr>
        <w:t xml:space="preserve">Both can be true: C describes the acquisition vehicle’s posture toward a sponsor; PEIT describes the eventual holding structure. A lender will ask which entity it is lending to.</w:t>
      </w:r>
    </w:p>
    <w:p>
      <w:pPr>
        <w:spacing w:after="140" w:line="300"/>
      </w:pPr>
      <w:r>
        <w:rPr>
          <w:rFonts w:ascii="Calibri" w:cs="Calibri" w:eastAsia="Calibri" w:hAnsi="Calibri"/>
          <w:b/>
          <w:bCs/>
          <w:color w:val="B5651D"/>
          <w:sz w:val="22"/>
          <w:szCs w:val="22"/>
        </w:rPr>
        <w:t xml:space="preserve">Options. </w:t>
      </w:r>
      <w:r>
        <w:rPr>
          <w:rFonts w:ascii="Calibri" w:cs="Calibri" w:eastAsia="Calibri" w:hAnsi="Calibri"/>
          <w:sz w:val="22"/>
          <w:szCs w:val="22"/>
        </w:rPr>
        <w:t xml:space="preserve">A · Define PEIT as the Door-1 wrapper and PropCo/OpCo/MemberCo as the Door-2 wrapper, and say so in both documents. B · Retire one term.</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Item 9.4</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pPr>
        <w:spacing w:after="60"/>
      </w:pPr>
    </w:p>
    <w:p>
      <w:pPr>
        <w:pStyle w:val="Heading3"/>
        <w:spacing w:after="80" w:before="200"/>
      </w:pPr>
      <w:r>
        <w:rPr>
          <w:rFonts w:ascii="Calibri" w:cs="Calibri" w:eastAsia="Calibri" w:hAnsi="Calibri"/>
          <w:b/>
          <w:bCs/>
          <w:color w:val="B5651D"/>
          <w:sz w:val="23"/>
          <w:szCs w:val="23"/>
        </w:rPr>
        <w:t xml:space="preserve">9.5 · The 72.7% figure — placement and label.</w:t>
      </w:r>
    </w:p>
    <w:p>
      <w:pPr>
        <w:spacing w:after="140" w:line="300"/>
      </w:pPr>
      <w:r>
        <w:rPr>
          <w:rFonts w:ascii="Calibri" w:cs="Calibri" w:eastAsia="Calibri" w:hAnsi="Calibri"/>
          <w:b/>
          <w:bCs/>
          <w:color w:val="0F2A44"/>
          <w:sz w:val="22"/>
          <w:szCs w:val="22"/>
        </w:rPr>
        <w:t xml:space="preserve">FIELD. </w:t>
      </w:r>
      <w:r>
        <w:rPr>
          <w:rFonts w:ascii="Calibri" w:cs="Calibri" w:eastAsia="Calibri" w:hAnsi="Calibri"/>
          <w:sz w:val="22"/>
          <w:szCs w:val="22"/>
        </w:rPr>
        <w:t xml:space="preserve">Document C shows 72.7% under “where retail sits inside the wall.” Council (Sept. 9): keep as a finding.</w:t>
      </w:r>
    </w:p>
    <w:p>
      <w:pPr>
        <w:spacing w:after="140" w:line="300"/>
      </w:pPr>
      <w:r>
        <w:rPr>
          <w:rFonts w:ascii="Calibri" w:cs="Calibri" w:eastAsia="Calibri" w:hAnsi="Calibri"/>
          <w:b/>
          <w:bCs/>
          <w:color w:val="1F6B3A"/>
          <w:sz w:val="22"/>
          <w:szCs w:val="22"/>
        </w:rPr>
        <w:t xml:space="preserve">OPEN SOURCE. </w:t>
      </w:r>
      <w:r>
        <w:rPr>
          <w:rFonts w:ascii="Calibri" w:cs="Calibri" w:eastAsia="Calibri" w:hAnsi="Calibri"/>
          <w:sz w:val="22"/>
          <w:szCs w:val="22"/>
        </w:rPr>
        <w:t xml:space="preserve">Seven of the ten liquidated loans were office; the two highest severities were office [12]. The figure proves obsolescence pricing across property types, which is what Section 6 needs.</w:t>
      </w:r>
    </w:p>
    <w:p>
      <w:pPr>
        <w:spacing w:after="140" w:line="300"/>
      </w:pPr>
      <w:r>
        <w:rPr>
          <w:rFonts w:ascii="Calibri" w:cs="Calibri" w:eastAsia="Calibri" w:hAnsi="Calibri"/>
          <w:b/>
          <w:bCs/>
          <w:color w:val="B5651D"/>
          <w:sz w:val="22"/>
          <w:szCs w:val="22"/>
        </w:rPr>
        <w:t xml:space="preserve">Options. </w:t>
      </w:r>
      <w:r>
        <w:rPr>
          <w:rFonts w:ascii="Calibri" w:cs="Calibri" w:eastAsia="Calibri" w:hAnsi="Calibri"/>
          <w:sz w:val="22"/>
          <w:szCs w:val="22"/>
        </w:rPr>
        <w:t xml:space="preserve">A · Keep, add label “all property types, office-led.” B · Keep, move to a general “price of obsolescence” block alongside Pecanland.</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Item 9.5</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pPr>
        <w:spacing w:after="60"/>
      </w:pPr>
    </w:p>
    <w:p>
      <w:pPr>
        <w:pStyle w:val="Heading3"/>
        <w:spacing w:after="80" w:before="200"/>
      </w:pPr>
      <w:r>
        <w:rPr>
          <w:rFonts w:ascii="Calibri" w:cs="Calibri" w:eastAsia="Calibri" w:hAnsi="Calibri"/>
          <w:b/>
          <w:bCs/>
          <w:color w:val="B5651D"/>
          <w:sz w:val="23"/>
          <w:szCs w:val="23"/>
        </w:rPr>
        <w:t xml:space="preserve">9.6 · Threshold (parking-lot) economics under Door 2.</w:t>
      </w:r>
    </w:p>
    <w:p>
      <w:pPr>
        <w:spacing w:after="140" w:line="300"/>
      </w:pPr>
      <w:r>
        <w:rPr>
          <w:rFonts w:ascii="Calibri" w:cs="Calibri" w:eastAsia="Calibri" w:hAnsi="Calibri"/>
          <w:b/>
          <w:bCs/>
          <w:color w:val="0F2A44"/>
          <w:sz w:val="22"/>
          <w:szCs w:val="22"/>
        </w:rPr>
        <w:t xml:space="preserve">FIELD. </w:t>
      </w:r>
      <w:r>
        <w:rPr>
          <w:rFonts w:ascii="Calibri" w:cs="Calibri" w:eastAsia="Calibri" w:hAnsi="Calibri"/>
          <w:sz w:val="22"/>
          <w:szCs w:val="22"/>
        </w:rPr>
        <w:t xml:space="preserve">Document A calls the lot “the street’s doorstep” and a bonus line; Document D places threshold lines in Bucket 3 (pure upside). Under Door 2 the lot usually belongs to the mall, not the box.</w:t>
      </w:r>
    </w:p>
    <w:p>
      <w:pPr>
        <w:spacing w:after="140" w:line="300"/>
      </w:pPr>
      <w:r>
        <w:rPr>
          <w:rFonts w:ascii="Calibri" w:cs="Calibri" w:eastAsia="Calibri" w:hAnsi="Calibri"/>
          <w:b/>
          <w:bCs/>
          <w:color w:val="1F6B3A"/>
          <w:sz w:val="22"/>
          <w:szCs w:val="22"/>
        </w:rPr>
        <w:t xml:space="preserve">OPEN SOURCE. </w:t>
      </w:r>
      <w:r>
        <w:rPr>
          <w:rFonts w:ascii="Calibri" w:cs="Calibri" w:eastAsia="Calibri" w:hAnsi="Calibri"/>
          <w:sz w:val="22"/>
          <w:szCs w:val="22"/>
        </w:rPr>
        <w:t xml:space="preserve">Volta’s collapse shows threshold lines cannot carry a business [36][37]; as a licence fee or revenue share with the mall owner they are a small, real line.</w:t>
      </w:r>
    </w:p>
    <w:p>
      <w:pPr>
        <w:spacing w:after="140" w:line="300"/>
      </w:pPr>
      <w:r>
        <w:rPr>
          <w:rFonts w:ascii="Calibri" w:cs="Calibri" w:eastAsia="Calibri" w:hAnsi="Calibri"/>
          <w:b/>
          <w:bCs/>
          <w:color w:val="B5651D"/>
          <w:sz w:val="22"/>
          <w:szCs w:val="22"/>
        </w:rPr>
        <w:t xml:space="preserve">Options. </w:t>
      </w:r>
      <w:r>
        <w:rPr>
          <w:rFonts w:ascii="Calibri" w:cs="Calibri" w:eastAsia="Calibri" w:hAnsi="Calibri"/>
          <w:sz w:val="22"/>
          <w:szCs w:val="22"/>
        </w:rPr>
        <w:t xml:space="preserve">A · Fixed licence fee to the mall owner. B · Revenue share on Bucket 3 threshold lines. C · Exclude the lot from the first venue.</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Item 9.6</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pPr>
        <w:spacing w:after="60"/>
      </w:pPr>
    </w:p>
    <w:p>
      <w:pPr>
        <w:pStyle w:val="Heading3"/>
        <w:spacing w:after="80" w:before="200"/>
      </w:pPr>
      <w:r>
        <w:rPr>
          <w:rFonts w:ascii="Calibri" w:cs="Calibri" w:eastAsia="Calibri" w:hAnsi="Calibri"/>
          <w:b/>
          <w:bCs/>
          <w:color w:val="B5651D"/>
          <w:sz w:val="23"/>
          <w:szCs w:val="23"/>
        </w:rPr>
        <w:t xml:space="preserve">9.7 · Market sizing in Document E.</w:t>
      </w:r>
    </w:p>
    <w:p>
      <w:pPr>
        <w:spacing w:after="140" w:line="300"/>
      </w:pPr>
      <w:r>
        <w:rPr>
          <w:rFonts w:ascii="Calibri" w:cs="Calibri" w:eastAsia="Calibri" w:hAnsi="Calibri"/>
          <w:b/>
          <w:bCs/>
          <w:color w:val="0F2A44"/>
          <w:sz w:val="22"/>
          <w:szCs w:val="22"/>
        </w:rPr>
        <w:t xml:space="preserve">FIELD. </w:t>
      </w:r>
      <w:r>
        <w:rPr>
          <w:rFonts w:ascii="Calibri" w:cs="Calibri" w:eastAsia="Calibri" w:hAnsi="Calibri"/>
          <w:sz w:val="22"/>
          <w:szCs w:val="22"/>
        </w:rPr>
        <w:t xml:space="preserve">E carries $85B mall maturities (60% underwater), 1,460 dark anchors / 187.5M sq ft, −40% traffic, 78→42 min dwell, and penetration scenarios to $4.5B ARR.</w:t>
      </w:r>
    </w:p>
    <w:p>
      <w:pPr>
        <w:spacing w:after="140" w:line="300"/>
      </w:pPr>
      <w:r>
        <w:rPr>
          <w:rFonts w:ascii="Calibri" w:cs="Calibri" w:eastAsia="Calibri" w:hAnsi="Calibri"/>
          <w:b/>
          <w:bCs/>
          <w:color w:val="1F6B3A"/>
          <w:sz w:val="22"/>
          <w:szCs w:val="22"/>
        </w:rPr>
        <w:t xml:space="preserve">OPEN SOURCE. </w:t>
      </w:r>
      <w:r>
        <w:rPr>
          <w:rFonts w:ascii="Calibri" w:cs="Calibri" w:eastAsia="Calibri" w:hAnsi="Calibri"/>
          <w:sz w:val="22"/>
          <w:szCs w:val="22"/>
        </w:rPr>
        <w:t xml:space="preserve">No public source breaks out mall maturities that way; traffic and dwell figures are contradicted at the top tier [21][24] and partly supported at Class B/C [17]; anchor counts are unsourced but plausible in magnitude [18][19]; ARR scenarios are projections with no venue operating.</w:t>
      </w:r>
    </w:p>
    <w:p>
      <w:pPr>
        <w:spacing w:after="140" w:line="300"/>
      </w:pPr>
      <w:r>
        <w:rPr>
          <w:rFonts w:ascii="Calibri" w:cs="Calibri" w:eastAsia="Calibri" w:hAnsi="Calibri"/>
          <w:b/>
          <w:bCs/>
          <w:color w:val="B5651D"/>
          <w:sz w:val="22"/>
          <w:szCs w:val="22"/>
        </w:rPr>
        <w:t xml:space="preserve">Options. </w:t>
      </w:r>
      <w:r>
        <w:rPr>
          <w:rFonts w:ascii="Calibri" w:cs="Calibri" w:eastAsia="Calibri" w:hAnsi="Calibri"/>
          <w:sz w:val="22"/>
          <w:szCs w:val="22"/>
        </w:rPr>
        <w:t xml:space="preserve">A · Re-base E to the sourced figures in Section 2 and label projections as projections. B · Keep E as an internal sizing note, not part of the handbook. C · Replace E’s sizing with One Box’s principle — no P&amp;L until the sponsor’s team is in the room.</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Item 9.7</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pPr>
        <w:spacing w:after="60"/>
      </w:pPr>
    </w:p>
    <w:p>
      <w:pPr>
        <w:pStyle w:val="Heading3"/>
        <w:spacing w:after="80" w:before="200"/>
      </w:pPr>
      <w:r>
        <w:rPr>
          <w:rFonts w:ascii="Calibri" w:cs="Calibri" w:eastAsia="Calibri" w:hAnsi="Calibri"/>
          <w:b/>
          <w:bCs/>
          <w:color w:val="B5651D"/>
          <w:sz w:val="23"/>
          <w:szCs w:val="23"/>
        </w:rPr>
        <w:t xml:space="preserve">9.8 · Anchor demand agreements and CBL — status language.</w:t>
      </w:r>
    </w:p>
    <w:p>
      <w:pPr>
        <w:spacing w:after="140" w:line="300"/>
      </w:pPr>
      <w:r>
        <w:rPr>
          <w:rFonts w:ascii="Calibri" w:cs="Calibri" w:eastAsia="Calibri" w:hAnsi="Calibri"/>
          <w:b/>
          <w:bCs/>
          <w:color w:val="0F2A44"/>
          <w:sz w:val="22"/>
          <w:szCs w:val="22"/>
        </w:rPr>
        <w:t xml:space="preserve">FIELD. </w:t>
      </w:r>
      <w:r>
        <w:rPr>
          <w:rFonts w:ascii="Calibri" w:cs="Calibri" w:eastAsia="Calibri" w:hAnsi="Calibri"/>
          <w:sz w:val="22"/>
          <w:szCs w:val="22"/>
        </w:rPr>
        <w:t xml:space="preserve">E: CBL LOI “at contract stage”; A (July 2026): anchor demand agreements “in negotiation — not signed.” E names Amazon, Rivian, Sony as next-generation anchors.</w:t>
      </w:r>
    </w:p>
    <w:p>
      <w:pPr>
        <w:spacing w:after="140" w:line="300"/>
      </w:pPr>
      <w:r>
        <w:rPr>
          <w:rFonts w:ascii="Calibri" w:cs="Calibri" w:eastAsia="Calibri" w:hAnsi="Calibri"/>
          <w:b/>
          <w:bCs/>
          <w:color w:val="1F6B3A"/>
          <w:sz w:val="22"/>
          <w:szCs w:val="22"/>
        </w:rPr>
        <w:t xml:space="preserve">OPEN SOURCE. </w:t>
      </w:r>
      <w:r>
        <w:rPr>
          <w:rFonts w:ascii="Calibri" w:cs="Calibri" w:eastAsia="Calibri" w:hAnsi="Calibri"/>
          <w:sz w:val="22"/>
          <w:szCs w:val="22"/>
        </w:rPr>
        <w:t xml:space="preserve">CBL now reports 85 properties / 54.8M sq ft [26]. A candidate will check.</w:t>
      </w:r>
    </w:p>
    <w:p>
      <w:pPr>
        <w:spacing w:after="140" w:line="300"/>
      </w:pPr>
      <w:r>
        <w:rPr>
          <w:rFonts w:ascii="Calibri" w:cs="Calibri" w:eastAsia="Calibri" w:hAnsi="Calibri"/>
          <w:b/>
          <w:bCs/>
          <w:color w:val="B5651D"/>
          <w:sz w:val="22"/>
          <w:szCs w:val="22"/>
        </w:rPr>
        <w:t xml:space="preserve">Options. </w:t>
      </w:r>
      <w:r>
        <w:rPr>
          <w:rFonts w:ascii="Calibri" w:cs="Calibri" w:eastAsia="Calibri" w:hAnsi="Calibri"/>
          <w:sz w:val="22"/>
          <w:szCs w:val="22"/>
        </w:rPr>
        <w:t xml:space="preserve">A · One status line for every counterparty, maintained in the diligence register, mirrored in all documents. B · Name brands only with written status; otherwise use categories.</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Item 9.8</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pPr>
        <w:spacing w:after="60"/>
      </w:pPr>
    </w:p>
    <w:p>
      <w:pPr>
        <w:pStyle w:val="Heading3"/>
        <w:spacing w:after="80" w:before="200"/>
      </w:pPr>
      <w:r>
        <w:rPr>
          <w:rFonts w:ascii="Calibri" w:cs="Calibri" w:eastAsia="Calibri" w:hAnsi="Calibri"/>
          <w:b/>
          <w:bCs/>
          <w:color w:val="B5651D"/>
          <w:sz w:val="23"/>
          <w:szCs w:val="23"/>
        </w:rPr>
        <w:t xml:space="preserve">9.9 · Publish or withhold Section 7.</w:t>
      </w:r>
    </w:p>
    <w:p>
      <w:pPr>
        <w:spacing w:after="140" w:line="300"/>
      </w:pPr>
      <w:r>
        <w:rPr>
          <w:rFonts w:ascii="Calibri" w:cs="Calibri" w:eastAsia="Calibri" w:hAnsi="Calibri"/>
          <w:b/>
          <w:bCs/>
          <w:color w:val="0F2A44"/>
          <w:sz w:val="22"/>
          <w:szCs w:val="22"/>
        </w:rPr>
        <w:t xml:space="preserve">FIELD. </w:t>
      </w:r>
      <w:r>
        <w:rPr>
          <w:rFonts w:ascii="Calibri" w:cs="Calibri" w:eastAsia="Calibri" w:hAnsi="Calibri"/>
          <w:sz w:val="22"/>
          <w:szCs w:val="22"/>
        </w:rPr>
        <w:t xml:space="preserve">One Box: “No P&amp;L. No penetration table. The founder points at the lines; the team the sponsor chooses builds the numbers.”</w:t>
      </w:r>
    </w:p>
    <w:p>
      <w:pPr>
        <w:spacing w:after="140" w:line="300"/>
      </w:pPr>
      <w:r>
        <w:rPr>
          <w:rFonts w:ascii="Calibri" w:cs="Calibri" w:eastAsia="Calibri" w:hAnsi="Calibri"/>
          <w:b/>
          <w:bCs/>
          <w:color w:val="1F6B3A"/>
          <w:sz w:val="22"/>
          <w:szCs w:val="22"/>
        </w:rPr>
        <w:t xml:space="preserve">OPEN SOURCE. </w:t>
      </w:r>
      <w:r>
        <w:rPr>
          <w:rFonts w:ascii="Calibri" w:cs="Calibri" w:eastAsia="Calibri" w:hAnsi="Calibri"/>
          <w:sz w:val="22"/>
          <w:szCs w:val="22"/>
        </w:rPr>
        <w:t xml:space="preserve">Landlord CFOs will ask for a structure before a sponsor is chosen; the illustration in Section 7 shows structure, not forecast.</w:t>
      </w:r>
    </w:p>
    <w:p>
      <w:pPr>
        <w:spacing w:after="140" w:line="300"/>
      </w:pPr>
      <w:r>
        <w:rPr>
          <w:rFonts w:ascii="Calibri" w:cs="Calibri" w:eastAsia="Calibri" w:hAnsi="Calibri"/>
          <w:b/>
          <w:bCs/>
          <w:color w:val="B5651D"/>
          <w:sz w:val="22"/>
          <w:szCs w:val="22"/>
        </w:rPr>
        <w:t xml:space="preserve">Options. </w:t>
      </w:r>
      <w:r>
        <w:rPr>
          <w:rFonts w:ascii="Calibri" w:cs="Calibri" w:eastAsia="Calibri" w:hAnsi="Calibri"/>
          <w:sz w:val="22"/>
          <w:szCs w:val="22"/>
        </w:rPr>
        <w:t xml:space="preserve">A · Publish as a labelled VMA illustration. B · Withhold until the sponsor’s team is in the room. C · Publish the structure table only, with all venue cash figures blank.</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Item 9.9</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pPr>
        <w:spacing w:after="60"/>
      </w:pPr>
    </w:p>
    <w:p>
      <w:pPr>
        <w:pStyle w:val="Heading3"/>
        <w:spacing w:after="80" w:before="200"/>
      </w:pPr>
      <w:r>
        <w:rPr>
          <w:rFonts w:ascii="Calibri" w:cs="Calibri" w:eastAsia="Calibri" w:hAnsi="Calibri"/>
          <w:b/>
          <w:bCs/>
          <w:color w:val="B5651D"/>
          <w:sz w:val="23"/>
          <w:szCs w:val="23"/>
        </w:rPr>
        <w:t xml:space="preserve">9.10 · Front-of-house marks.</w:t>
      </w:r>
    </w:p>
    <w:p>
      <w:pPr>
        <w:spacing w:after="140" w:line="300"/>
      </w:pPr>
      <w:r>
        <w:rPr>
          <w:rFonts w:ascii="Calibri" w:cs="Calibri" w:eastAsia="Calibri" w:hAnsi="Calibri"/>
          <w:b/>
          <w:bCs/>
          <w:color w:val="0F2A44"/>
          <w:sz w:val="22"/>
          <w:szCs w:val="22"/>
        </w:rPr>
        <w:t xml:space="preserve">FIELD. </w:t>
      </w:r>
      <w:r>
        <w:rPr>
          <w:rFonts w:ascii="Calibri" w:cs="Calibri" w:eastAsia="Calibri" w:hAnsi="Calibri"/>
          <w:sz w:val="22"/>
          <w:szCs w:val="22"/>
        </w:rPr>
        <w:t xml:space="preserve">Documents use 5th Wall™, FifthWall PE, Fifth Wall Phygital Elements, Atmosphere™, PEIT™.</w:t>
      </w:r>
    </w:p>
    <w:p>
      <w:pPr>
        <w:spacing w:after="140" w:line="300"/>
      </w:pPr>
      <w:r>
        <w:rPr>
          <w:rFonts w:ascii="Calibri" w:cs="Calibri" w:eastAsia="Calibri" w:hAnsi="Calibri"/>
          <w:b/>
          <w:bCs/>
          <w:color w:val="1F6B3A"/>
          <w:sz w:val="22"/>
          <w:szCs w:val="22"/>
        </w:rPr>
        <w:t xml:space="preserve">OPEN SOURCE. </w:t>
      </w:r>
      <w:r>
        <w:rPr>
          <w:rFonts w:ascii="Calibri" w:cs="Calibri" w:eastAsia="Calibri" w:hAnsi="Calibri"/>
          <w:sz w:val="22"/>
          <w:szCs w:val="22"/>
        </w:rPr>
        <w:t xml:space="preserve">Fifth Wall is the name of an established U.S. proptech venture firm whose limited partners include large REITs — the very audience of Door 1.</w:t>
      </w:r>
    </w:p>
    <w:p>
      <w:pPr>
        <w:spacing w:after="140" w:line="300"/>
      </w:pPr>
      <w:r>
        <w:rPr>
          <w:rFonts w:ascii="Calibri" w:cs="Calibri" w:eastAsia="Calibri" w:hAnsi="Calibri"/>
          <w:b/>
          <w:bCs/>
          <w:color w:val="B5651D"/>
          <w:sz w:val="22"/>
          <w:szCs w:val="22"/>
        </w:rPr>
        <w:t xml:space="preserve">Options. </w:t>
      </w:r>
      <w:r>
        <w:rPr>
          <w:rFonts w:ascii="Calibri" w:cs="Calibri" w:eastAsia="Calibri" w:hAnsi="Calibri"/>
          <w:sz w:val="22"/>
          <w:szCs w:val="22"/>
        </w:rPr>
        <w:t xml:space="preserve">A · Legal and brand review before U.S. outreach. B · Lead with Atmosphere™ and A Level Alliances; keep 5th Wall™ as the engine mark.</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Item 9.10</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pPr>
        <w:spacing w:after="60"/>
      </w:pPr>
    </w:p>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10. Term-sheet skeletons — two doors</w:t>
      </w:r>
    </w:p>
    <w:p>
      <w:pPr>
        <w:spacing w:after="140" w:line="300"/>
      </w:pPr>
      <w:r>
        <w:rPr>
          <w:rFonts w:ascii="Calibri" w:cs="Calibri" w:eastAsia="Calibri" w:hAnsi="Calibri"/>
          <w:sz w:val="22"/>
          <w:szCs w:val="22"/>
        </w:rPr>
        <w:t xml:space="preserve">The conversation should end in a document. Values in brackets are for the Charter. Door 1 is the landlord term sheet; Door 2 is the neighbour agreement.</w:t>
      </w:r>
    </w:p>
    <w:p>
      <w:pPr>
        <w:pStyle w:val="Heading2"/>
        <w:spacing w:after="120" w:before="260"/>
      </w:pPr>
      <w:r>
        <w:rPr>
          <w:rFonts w:ascii="Georgia" w:cs="Georgia" w:eastAsia="Georgia" w:hAnsi="Georgia"/>
          <w:b/>
          <w:bCs/>
          <w:color w:val="0F2A44"/>
          <w:sz w:val="26"/>
          <w:szCs w:val="26"/>
        </w:rPr>
        <w:t xml:space="preserve">10.1 Door 1 — landlord contribution (twelve lines)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
        <w:gridCol w:w="1700"/>
        <w:gridCol w:w="7210"/>
      </w:tblGrid>
      <w:tr>
        <w:trPr>
          <w:tblHeader/>
        </w:trPr>
        <w:tc>
          <w:tcPr>
            <w:tcW w:type="dxa" w:w="45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t>
            </w:r>
          </w:p>
        </w:tc>
        <w:tc>
          <w:tcPr>
            <w:tcW w:type="dxa" w:w="17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Term</w:t>
            </w:r>
          </w:p>
        </w:tc>
        <w:tc>
          <w:tcPr>
            <w:tcW w:type="dxa" w:w="721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Skeleton</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w:t>
            </w:r>
          </w:p>
        </w:tc>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Contribution</w:t>
            </w:r>
          </w:p>
        </w:tc>
        <w:tc>
          <w:tcPr>
            <w:tcW w:type="dxa" w:w="72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Use rights to [box, sq ft], common-area media/module footprint and threshold rights, in kind, at an agreed contribution value of [$].</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2</w:t>
            </w:r>
          </w:p>
        </w:tc>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Equity</w:t>
            </w:r>
          </w:p>
        </w:tc>
        <w:tc>
          <w:tcPr>
            <w:tcW w:type="dxa" w:w="72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Landlord [20–40]% founding equity (item 9.2); Capital Partner [20]% for fit-out, fixtures and working capital of [$]; Operator the balance.</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3</w:t>
            </w:r>
          </w:p>
        </w:tc>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Floor</w:t>
            </w:r>
          </w:p>
        </w:tc>
        <w:tc>
          <w:tcPr>
            <w:tcW w:type="dxa" w:w="72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Trailing three-year average rent on the contributed space, guaranteed by Operator; shortfall paid quarterly; step-ups on [milestones].</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4</w:t>
            </w:r>
          </w:p>
        </w:tc>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Term</w:t>
            </w:r>
          </w:p>
        </w:tc>
        <w:tc>
          <w:tcPr>
            <w:tcW w:type="dxa" w:w="72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[10] years + [2 × 5] options.</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5</w:t>
            </w:r>
          </w:p>
        </w:tc>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Delivery</w:t>
            </w:r>
          </w:p>
        </w:tc>
        <w:tc>
          <w:tcPr>
            <w:tcW w:type="dxa" w:w="72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Landlord delivers “Phygital-Ready” shell to Spec [X] by [date]; Operator opens within 90 days of delivery.</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6</w:t>
            </w:r>
          </w:p>
        </w:tc>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Capex</w:t>
            </w:r>
          </w:p>
        </w:tc>
        <w:tc>
          <w:tcPr>
            <w:tcW w:type="dxa" w:w="72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Landlord $0; Capital Partner funds Schedule [A]; Operator funds technology and fixtures.</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7</w:t>
            </w:r>
          </w:p>
        </w:tc>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Lender</w:t>
            </w:r>
          </w:p>
        </w:tc>
        <w:tc>
          <w:tcPr>
            <w:tcW w:type="dxa" w:w="72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Lender consent and SNDA as a condition precedent; Operator supplies underwriting package.</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8</w:t>
            </w:r>
          </w:p>
        </w:tc>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Co-tenancy</w:t>
            </w:r>
          </w:p>
        </w:tc>
        <w:tc>
          <w:tcPr>
            <w:tcW w:type="dxa" w:w="72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Atmosphere™ qualifies as an occupied anchor for inline tests; Landlord re-papers exclusives on Schedule [B].</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9</w:t>
            </w:r>
          </w:p>
        </w:tc>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Data &amp; media</w:t>
            </w:r>
          </w:p>
        </w:tc>
        <w:tc>
          <w:tcPr>
            <w:tcW w:type="dxa" w:w="72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Opt-in, privacy-first; Landlord approval list; category exclusivity for the seed sponsor; media revenue share per Schedule [C].</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10</w:t>
            </w:r>
          </w:p>
        </w:tc>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Governance</w:t>
            </w:r>
          </w:p>
        </w:tc>
        <w:tc>
          <w:tcPr>
            <w:tcW w:type="dxa" w:w="72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Board seat/observer; monthly RevPAM (item 9.1) and line-by-line P&amp;L; audit rights; first look on next [N] boxes.</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11</w:t>
            </w:r>
          </w:p>
        </w:tc>
        <w:tc>
          <w:tcPr>
            <w:tcW w:type="dxa" w:w="17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Exit</w:t>
            </w:r>
          </w:p>
        </w:tc>
        <w:tc>
          <w:tcPr>
            <w:tcW w:type="dxa" w:w="72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Tag/drag, ROFR on Operator interest, reversion of improved shell on termination.</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12</w:t>
            </w:r>
          </w:p>
        </w:tc>
        <w:tc>
          <w:tcPr>
            <w:tcW w:type="dxa" w:w="17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REIT structuring</w:t>
            </w:r>
          </w:p>
        </w:tc>
        <w:tc>
          <w:tcPr>
            <w:tcW w:type="dxa" w:w="72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Landlord interest via TRS or as qualifying rent plus participation, per tax counsel opinion as a condition precedent.</w:t>
            </w:r>
          </w:p>
        </w:tc>
      </w:tr>
    </w:tbl>
    <w:p>
      <w:pPr>
        <w:spacing w:after="120"/>
      </w:pPr>
    </w:p>
    <w:p>
      <w:pPr>
        <w:pStyle w:val="Heading2"/>
        <w:spacing w:after="120" w:before="260"/>
      </w:pPr>
      <w:r>
        <w:rPr>
          <w:rFonts w:ascii="Georgia" w:cs="Georgia" w:eastAsia="Georgia" w:hAnsi="Georgia"/>
          <w:b/>
          <w:bCs/>
          <w:color w:val="0F2A44"/>
          <w:sz w:val="26"/>
          <w:szCs w:val="26"/>
        </w:rPr>
        <w:t xml:space="preserve">10.2 Door 2 — neighbour agreement with the mall owner (eight lines)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
        <w:gridCol w:w="1900"/>
        <w:gridCol w:w="7010"/>
      </w:tblGrid>
      <w:tr>
        <w:trPr>
          <w:tblHeader/>
        </w:trPr>
        <w:tc>
          <w:tcPr>
            <w:tcW w:type="dxa" w:w="45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t>
            </w:r>
          </w:p>
        </w:tc>
        <w:tc>
          <w:tcPr>
            <w:tcW w:type="dxa" w:w="19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Term</w:t>
            </w:r>
          </w:p>
        </w:tc>
        <w:tc>
          <w:tcPr>
            <w:tcW w:type="dxa" w:w="701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Skeleton</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1</w:t>
            </w:r>
          </w:p>
        </w:tc>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REA amendment</w:t>
            </w:r>
          </w:p>
        </w:tc>
        <w:tc>
          <w:tcPr>
            <w:tcW w:type="dxa" w:w="70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Permitted uses expanded to marketplace, assembly, media and events on Parcel [X]; hours [ ]; signage [ ].</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2</w:t>
            </w:r>
          </w:p>
        </w:tc>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Co-tenancy recognition</w:t>
            </w:r>
          </w:p>
        </w:tc>
        <w:tc>
          <w:tcPr>
            <w:tcW w:type="dxa" w:w="70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Mall Owner acknowledges Atmosphere™ as an operating anchor for all inline co-tenancy provisions from [date].</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3</w:t>
            </w:r>
          </w:p>
        </w:tc>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Threshold licence</w:t>
            </w:r>
          </w:p>
        </w:tc>
        <w:tc>
          <w:tcPr>
            <w:tcW w:type="dxa" w:w="70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Parking and curb rights for [uses] at [fixed fee / revenue share on Bucket 3 threshold lines] (item 9.6).</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4</w:t>
            </w:r>
          </w:p>
        </w:tc>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Corridor access</w:t>
            </w:r>
          </w:p>
        </w:tc>
        <w:tc>
          <w:tcPr>
            <w:tcW w:type="dxa" w:w="70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Corridor-side door and common-area module/media footprint of [sq ft] at [terms].</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5</w:t>
            </w:r>
          </w:p>
        </w:tc>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Estoppels</w:t>
            </w:r>
          </w:p>
        </w:tc>
        <w:tc>
          <w:tcPr>
            <w:tcW w:type="dxa" w:w="70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Mall Owner delivers REA and co-tenancy estoppels to the lease-pool financier within [days] of request.</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6</w:t>
            </w:r>
          </w:p>
        </w:tc>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Cost sharing</w:t>
            </w:r>
          </w:p>
        </w:tc>
        <w:tc>
          <w:tcPr>
            <w:tcW w:type="dxa" w:w="70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CAM, security and utilities allocated per REA at [basis]; no contribution to fit-out.</w:t>
            </w:r>
          </w:p>
        </w:tc>
      </w:tr>
      <w:tr>
        <w:trPr>
          <w:cantSplit/>
        </w:trPr>
        <w:tc>
          <w:tcPr>
            <w:tcW w:type="dxa" w:w="45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7</w:t>
            </w:r>
          </w:p>
        </w:tc>
        <w:tc>
          <w:tcPr>
            <w:tcW w:type="dxa" w:w="19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First look</w:t>
            </w:r>
          </w:p>
        </w:tc>
        <w:tc>
          <w:tcPr>
            <w:tcW w:type="dxa" w:w="701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Mall Owner receives first look at Door 1 terms for any further dark box in the property.</w:t>
            </w:r>
          </w:p>
        </w:tc>
      </w:tr>
      <w:tr>
        <w:trPr>
          <w:cantSplit/>
        </w:trPr>
        <w:tc>
          <w:tcPr>
            <w:tcW w:type="dxa" w:w="45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8</w:t>
            </w:r>
          </w:p>
        </w:tc>
        <w:tc>
          <w:tcPr>
            <w:tcW w:type="dxa" w:w="19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Term</w:t>
            </w:r>
          </w:p>
        </w:tc>
        <w:tc>
          <w:tcPr>
            <w:tcW w:type="dxa" w:w="701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9"/>
                <w:szCs w:val="19"/>
              </w:rPr>
              <w:t xml:space="preserve">Co-terminous with the vehicle’s ownership of the box; survives transfer to the ABS/CTL structure.</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300"/>
        <w:gridCol w:w="1300"/>
        <w:gridCol w:w="1300"/>
        <w:gridCol w:w="3460"/>
      </w:tblGrid>
      <w:tr>
        <w:tc>
          <w:tcPr>
            <w:tcW w:type="dxa" w:w="20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bCs/>
                <w:color w:val="B5651D"/>
                <w:sz w:val="18"/>
                <w:szCs w:val="18"/>
              </w:rPr>
              <w:t xml:space="preserve">Section 10 — term-sheet skeletons</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Adopt</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Amend</w:t>
            </w:r>
          </w:p>
        </w:tc>
        <w:tc>
          <w:tcPr>
            <w:tcW w:type="dxa" w:w="130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 Defer</w:t>
            </w:r>
          </w:p>
        </w:tc>
        <w:tc>
          <w:tcPr>
            <w:tcW w:type="dxa" w:w="3460"/>
            <w:tcBorders>
              <w:top w:val="single" w:color="B5651D" w:sz="4"/>
              <w:left w:val="single" w:color="B5651D" w:sz="4"/>
              <w:bottom w:val="single" w:color="B5651D" w:sz="4"/>
              <w:right w:val="single" w:color="B5651D" w:sz="4"/>
            </w:tcBorders>
            <w:shd w:fill="FFFFFF" w:color="auto" w:val="clear"/>
            <w:tcMar>
              <w:top w:type="dxa" w:w="60"/>
              <w:left w:type="dxa" w:w="100"/>
              <w:bottom w:type="dxa" w:w="60"/>
              <w:right w:type="dxa" w:w="100"/>
            </w:tcMar>
          </w:tcPr>
          <w:p>
            <w:pPr>
              <w:spacing w:after="0"/>
            </w:pPr>
            <w:r>
              <w:rPr>
                <w:rFonts w:ascii="Calibri" w:cs="Calibri" w:eastAsia="Calibri" w:hAnsi="Calibri"/>
                <w:b w:val="false"/>
                <w:bCs w:val="false"/>
                <w:color w:val="222222"/>
                <w:sz w:val="18"/>
                <w:szCs w:val="18"/>
              </w:rPr>
              <w:t xml:space="preserve">Date / initials: ____________</w:t>
            </w:r>
          </w:p>
        </w:tc>
      </w:tr>
    </w:tbl>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11. Every dollar has a name</w:t>
      </w:r>
    </w:p>
    <w:p>
      <w:pPr>
        <w:spacing w:after="140" w:line="300"/>
      </w:pPr>
      <w:r>
        <w:rPr>
          <w:rFonts w:ascii="Calibri" w:cs="Calibri" w:eastAsia="Calibri" w:hAnsi="Calibri"/>
          <w:sz w:val="22"/>
          <w:szCs w:val="22"/>
        </w:rPr>
        <w:t xml:space="preserve">The landlord’s dollar has had one name for seventy years: rent. The maturity wall, the anchor collapse and the retail-media boom have arrived in the same three-year window and point at the same square footage. The audience is on the floor at the top and leaving it at the bottom; both are measured. The advertising money is looking for the floor. The lender wants a resolution; the servicer wants the box off its books; the department store wants to sell. The only party that can bring the ground, the lender, the inline roll, the parking lot and the town hall to one table is whoever holds the ground — and the only thing the ground-holder cannot bring is the control plane.</w:t>
      </w:r>
    </w:p>
    <w:p>
      <w:pPr>
        <w:spacing w:after="140" w:line="300"/>
      </w:pPr>
      <w:r>
        <w:rPr>
          <w:rFonts w:ascii="Calibri" w:cs="Calibri" w:eastAsia="Calibri" w:hAnsi="Calibri"/>
          <w:b/>
          <w:bCs/>
          <w:sz w:val="22"/>
          <w:szCs w:val="22"/>
        </w:rPr>
        <w:t xml:space="preserve">That is the trade: ground for control plane.</w:t>
      </w:r>
      <w:r>
        <w:rPr>
          <w:rFonts w:ascii="Calibri" w:cs="Calibri" w:eastAsia="Calibri" w:hAnsi="Calibri"/>
          <w:sz w:val="22"/>
          <w:szCs w:val="22"/>
        </w:rPr>
        <w:t xml:space="preserve"> Contributed under Door 1, bought at the write-off under Door 2, sponsored under Door 3. It has precedent in hotels, in flexible workplace, in airports and in the landlord’s own specialty-leasing budget; it has a negative proof in every asset-heavy operator that tried it without the owner; and it has one external price the council trusts — the Industrious structure, earned rung by rung.</w:t>
      </w:r>
    </w:p>
    <w:p>
      <w:pPr>
        <w:spacing w:after="140" w:line="300"/>
      </w:pPr>
      <w:r>
        <w:rPr>
          <w:rFonts w:ascii="Calibri" w:cs="Calibri" w:eastAsia="Calibri" w:hAnsi="Calibri"/>
          <w:sz w:val="22"/>
          <w:szCs w:val="22"/>
        </w:rPr>
        <w:t xml:space="preserve">A kiosk was never about the chewing gum. A mall was never about the rent.</w:t>
      </w:r>
    </w:p>
    <w:p>
      <w:pPr>
        <w:spacing w:after="200"/>
      </w:pPr>
    </w:p>
    <w:p>
      <w:pPr>
        <w:jc w:val="center"/>
      </w:pPr>
      <w:r>
        <w:rPr>
          <w:rFonts w:ascii="Calibri" w:cs="Calibri" w:eastAsia="Calibri" w:hAnsi="Calibri"/>
          <w:i/>
          <w:iCs/>
          <w:color w:val="5A5A5A"/>
          <w:sz w:val="18"/>
          <w:szCs w:val="18"/>
        </w:rPr>
        <w:t xml:space="preserve">Value Masters Academy · Founders’ Council Handbook, Vol. 1 · for A Level Alliances · August 2026 · Working draft — every line subject to council approval</w:t>
      </w:r>
    </w:p>
    <w:p>
      <w:r>
        <w:br w:type="page"/>
      </w:r>
    </w:p>
    <w:p>
      <w:pPr>
        <w:pStyle w:val="Heading1"/>
        <w:pBdr>
          <w:bottom w:val="single" w:color="B5651D" w:sz="6" w:space="4"/>
        </w:pBdr>
        <w:spacing w:after="180" w:before="360"/>
      </w:pPr>
      <w:r>
        <w:rPr>
          <w:rFonts w:ascii="Georgia" w:cs="Georgia" w:eastAsia="Georgia" w:hAnsi="Georgia"/>
          <w:b/>
          <w:bCs/>
          <w:color w:val="0F2A44"/>
          <w:sz w:val="34"/>
          <w:szCs w:val="34"/>
        </w:rPr>
        <w:t xml:space="preserve">Appendix A — The five A Level Alliances documents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4200"/>
        <w:gridCol w:w="4660"/>
      </w:tblGrid>
      <w:tr>
        <w:trPr>
          <w:tblHeader/>
        </w:trPr>
        <w:tc>
          <w:tcPr>
            <w:tcW w:type="dxa" w:w="5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t>
            </w:r>
          </w:p>
        </w:tc>
        <w:tc>
          <w:tcPr>
            <w:tcW w:type="dxa" w:w="42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Document</w:t>
            </w:r>
          </w:p>
        </w:tc>
        <w:tc>
          <w:tcPr>
            <w:tcW w:type="dxa" w:w="46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URL</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The Field Thesis — A Level Alliances (July 2026)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https://key-observation.fifthwallpe.com/</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B</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Third Place at Atmosphere — Sponsor Invitation</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https://thirdplace-at.atmospheremarketplace.com/</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 Special Situation — Not retail. Not real estate. (August 2026)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https://special-situation.alevelalliances.com/</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One Box — Annex to A Special Situation (August 2026)</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https://special-situation.alevelalliances.com/one-box</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E</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REIT 2.0: Transforming the American Retail Maturity Wall (internal note, Turkish; unpublished)</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w:t>
            </w:r>
          </w:p>
        </w:tc>
      </w:tr>
    </w:tbl>
    <w:p>
      <w:pPr>
        <w:spacing w:after="120"/>
      </w:pPr>
    </w:p>
    <w:p>
      <w:pPr>
        <w:pStyle w:val="Heading1"/>
        <w:pBdr>
          <w:bottom w:val="single" w:color="B5651D" w:sz="6" w:space="4"/>
        </w:pBdr>
        <w:spacing w:after="180" w:before="360"/>
      </w:pPr>
      <w:r>
        <w:rPr>
          <w:rFonts w:ascii="Georgia" w:cs="Georgia" w:eastAsia="Georgia" w:hAnsi="Georgia"/>
          <w:b/>
          <w:bCs/>
          <w:color w:val="0F2A44"/>
          <w:sz w:val="34"/>
          <w:szCs w:val="34"/>
        </w:rPr>
        <w:t xml:space="preserve">Appendix B — Open-source register</w:t>
      </w:r>
    </w:p>
    <w:p>
      <w:pPr>
        <w:spacing w:after="120" w:line="260"/>
      </w:pPr>
      <w:r>
        <w:rPr>
          <w:rFonts w:ascii="Calibri" w:cs="Calibri" w:eastAsia="Calibri" w:hAnsi="Calibri"/>
          <w:i/>
          <w:iCs/>
          <w:color w:val="5A5A5A"/>
          <w:sz w:val="18"/>
          <w:szCs w:val="18"/>
        </w:rPr>
        <w:t xml:space="preserve">Bracketed numbers in the body refer to this register. All web sources retrieved 30 August 2026. Where a secondary source reports a primary dataset (Placer.ai, Green Street, Trepp, eMarketer), the primary is named in the title.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4200"/>
        <w:gridCol w:w="4660"/>
      </w:tblGrid>
      <w:tr>
        <w:trPr>
          <w:tblHeader/>
        </w:trPr>
        <w:tc>
          <w:tcPr>
            <w:tcW w:type="dxa" w:w="5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w:t>
            </w:r>
          </w:p>
        </w:tc>
        <w:tc>
          <w:tcPr>
            <w:tcW w:type="dxa" w:w="420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Source</w:t>
            </w:r>
          </w:p>
        </w:tc>
        <w:tc>
          <w:tcPr>
            <w:tcW w:type="dxa" w:w="4660"/>
            <w:tcBorders>
              <w:top w:val="single" w:color="C9CED6" w:sz="4"/>
              <w:left w:val="single" w:color="C9CED6" w:sz="4"/>
              <w:bottom w:val="single" w:color="C9CED6" w:sz="4"/>
              <w:right w:val="single" w:color="C9CED6" w:sz="4"/>
            </w:tcBorders>
            <w:shd w:fill="0F2A44" w:color="auto" w:val="clear"/>
            <w:tcMar>
              <w:top w:type="dxa" w:w="80"/>
              <w:left w:type="dxa" w:w="100"/>
              <w:bottom w:type="dxa" w:w="80"/>
              <w:right w:type="dxa" w:w="100"/>
            </w:tcMar>
            <w:vAlign w:val="center"/>
          </w:tcPr>
          <w:p>
            <w:pPr>
              <w:spacing w:after="0"/>
            </w:pPr>
            <w:r>
              <w:rPr>
                <w:rFonts w:ascii="Calibri" w:cs="Calibri" w:eastAsia="Calibri" w:hAnsi="Calibri"/>
                <w:b/>
                <w:bCs/>
                <w:color w:val="FFFFFF"/>
                <w:sz w:val="19"/>
                <w:szCs w:val="19"/>
              </w:rPr>
              <w:t xml:space="preserve">URL</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Mortgage Bankers Association — 2025 CRE Survey of Loan Maturity Volumes (Mar 2026)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https://www.mba.org/news-and-research/newsroom/blog-post/commercial-real-estate-loan-maturity-volumes</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S&amp;P Global Market Intelligence — CRE maturity wall $950B in 2024, peaks in 2027 at $1.26T</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https://www.spglobal.com/market-intelligence/en/news-insights/research/commercial-real-estate-maturity-wall-950b-in-2024-peaks-in-2027</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Sterling Asset Group — S&amp;P vs MBA maturity series compared (May 2026)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https://www.sterlingassetgroup.com/insights/the-great-refinancing-wall</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4</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Matthews — The 2026 Capital Reset (50–55% of 2025 maturities paid off); First American — Has the Maturity Wall Reached a Turning Point?</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https://www.matthews.com/insights/the-2026-capital-reset</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5</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Fident Capital — The 2026 Maturity Wall (Morningstar DBRS: &gt;50% of 2026 securitized maturities unlikely to pay off)</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https://fidentcapital.com/the-2026-maturity-wall-what-the-end-of-extend-and-pretend-means-for-borrowers/</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6</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CRE Daily / Trepp Spring 2026 Quarterly Data Review — $76.6B hard maturities; $27.3B at ≤8% debt yield; office delinquency record 12.34%</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https://www.credaily.com/briefs/cmbs-maturity-wall-tests-refinancing-in-2026/</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7</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MBA Newslink / Trepp — CMBS delinquency July 2026 (retail 6.96%)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https://newslink.mba.org/mba-newslinks/2026/august/mba-newslink-thursday-august-6-2026/trepp-cmbs-delinquency-rate-up-51-basis-points-in-july/</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8</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MBA Newslink / Trepp — CMBS delinquency June 2026 (retail rise driven by regional malls and outlets)</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https://newslink.mba.org/mba-newslinks/2026/july/trepp-cmbs-delinquency-rate-falls-in-june/</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9</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Commercial Real Estate Direct / Trepp — Older CMBS mall loans see greater delinquency (96.3% pre-2017) (Jul 2026)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https://crenews.com/2026/07/30/older-cmbs-mall-loans-see-greater-delinquency/</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10</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Commercial Property Executive — CMBS: Who’s Winning, Who’s Losing (Class B malls gone from pipelines) (Apr 2026)</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https://www.commercialsearch.com/news/cmbs-whos-winning-and-whos-losing/</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11</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CoStar — Why lenders are stepping up financing of some U.S. malls (NorthPark, International Plaza) (Oct 2025)</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https://www.costar.com/article/414149514/why-lenders-are-stepping-up-financing-of-some-us-malls</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12</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CREFC — Update on CMBS Loan Performance, May 2026 (Pecanland 80.9%; ten liquidations 72.7%)</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https://assets.informz.net/cmbs/data/images/CREFC%20Update%20on%20CMBS%20Loan%20Performance%20(May%202026).pdf</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13</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Commercial Real Estate Direct — Kohan buys Pecanland Mall, $54.45M loss to CMBS trust (May 2026)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https://crenews.com/2026/05/20/kohan-buys-pecanland-mall-in-louisiana-resulting-in-54-45mln-loss-to-cmbs-trust/</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14</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CNBC — Green Street: A-mall values down 45% from 2016 (Jan 2021)</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https://www.cnbc.com/2021/01/26/top-tier-mall-values-have-dropped-45percent-from-2016-levels-green-street.html</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15</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WealthManagement.com — Lower-tier malls face extinction (Green Street B/C values)</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https://www.wealthmanagement.com/real-estate/many-lower-tier-malls-face-extinction-experts-warn</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16</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Macerich 8-K exhibit (May 2026) — ~900 enclosed malls, 235 Class A (Green Street)</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https://www.sec.gov/Archives/edgar/data/0000912242/000119312526249691/d922651dex991.htm</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17</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CRE Daily — Class B retail centers face reinvention (Green Street: B traffic ~10% below 2019; occupancy 89%; C under 72%)</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https://www.credaily.com/briefs/class-b-retail-centers-face-reinvention-through-redevelopment/</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18</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RockStep — Department store closures create new opportunities for enclosed malls (Apr 2026)</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https://rockstep.com/blog/department-store-closures</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19</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Retail Dive / JLL — Store closures outpace openings; mall vacancy 8.7%; Macy’s ~12M sq ft (Feb 2025)</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https://www.retaildive.com/news/retail-store-closures-openings-shift-service-tenants/740615/</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20</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CoStar / Coresight — U.S. store closings on pace for record year (Jul 2025)</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https://www.costar.com/article/1870124869/rising-us-store-closings-reflect-retail-real-estate-churn-analysis-firm-says</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21</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Placer.ai — June 2025 Mall Index (indoor visits 1.1% below Q2-2019)</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https://www.placer.ai/anchor/articles/placer-ai-june-2025-mall-index</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22</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PYMNTS — Placer.ai December 2025 Mall Index (indoor gains all four quarters)</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https://www.pymnts.com/news/retail/2026/americas-malls-split-in-two-after-the-holidays/</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23</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Commercial Observer — U.S. mall traffic up in February 2026 (Placer.ai)</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https://commercialobserver.com/2026/03/us-mall-traffic-growth-february-placerai/</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24</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Capital One Shopping — Mall foot-traffic statistics (Placer.ai compilation; median dwell)</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https://capitaloneshopping.com/research/mall-foot-traffic-statistics/</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25</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CBL Properties — Q1 2026 results (8 May 2026)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https://www.businesswire.com/news/home/20260508718555/en/CBL-Properties-Reports-Results-for-First-Quarter-2026</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26</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CBL Properties — Q2 2026 results (6 Aug 2026)</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https://www.morningstar.com/news/business-wire/20260806085649/cbl-properties-reports-strong-results-for-second-quarter-2026</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27</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Osmos / eMarketer — In-store retail media trends 2026 (in-store +33.1%; $71–73B; Amazon+Walmart 88%)</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https://www.osmos.ai/blog/future-of-retail-media-in-store-monetization-2026</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28</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Digital Applied / eMarketer — Retail media vs in-house ad spend 2026</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https://www.digitalapplied.com/blog/retail-media-vs-in-house-ad-spend-2026-decision-matrix</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29</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Fugo / eMarketer — Retail media statistics (80% of spend in-store; 90% of retail media online)</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https://www.fugo.ai/blog/retail-media-growth-statistics-trends/</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30</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ICSC — Boosting mall income (Kimco on specialty leasing; exclusives and common-area limits)</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https://www.icsc.com/news-and-views/sct-magazine/boosting-mall-income</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31</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SEC — Crown American Realty Trust 8-K (2001): specialty/temporary leasing at 5% of revenues</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https://www.sec.gov/Archives/edgar/data/0000905134/000090513401500025/wallstreet.htm</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32</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Elevenflo — JCPenney Chapter 11 sale to Simon/Brookfield (structure and amounts)</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https://elevenflo.com/blog/jcpenney-chapter-11-sale-simon-brookfield</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33</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Bisnow — Simon’s SPARC/JCPenney bet, 9× on ABG (Oct 2023); Retail Dive — “Do malls have any business getting into retail?”</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https://www.bisnow.com/national/news/retail/is-simons-sparc-group-a-retail-super-liner-or-a-noahs-ark-120802</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34</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Coffee with Abhishek — Seritage: $2.7–3B redevelopment capital for 20M sq ft (Dec 2020)</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https://coffeewithabhishek.wordpress.com/2020/12/18/seritage-growth-properties-low-risk-high-uncertainty/</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35</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ad-hoc-news — Seritage liquidation status (Jun–Jul 2026)</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https://www.ad-hoc-news.de/boerse/news/ueberblick/seritage-growth-properties-stock-us81752r1005-reit-focuses-on/69499810</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36</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Canary Media — Shell buys Volta for $169M (Jan 2023)</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https://www.canarymedia.com/articles/ev-charging/shell-buys-ev-charger-operator-volta-for-pennies-on-the-dollar</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37</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AdExchanger — Shell shutters its Volta EV charging and media division (Aug 2025)</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https://www.adexchanger.com/commerce/shell-shutters-its-volta-ev-charging-and-media-division/</w:t>
            </w:r>
          </w:p>
        </w:tc>
      </w:tr>
      <w:tr>
        <w:trPr>
          <w:cantSplit/>
        </w:trPr>
        <w:tc>
          <w:tcPr>
            <w:tcW w:type="dxa" w:w="5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38</w:t>
            </w:r>
          </w:p>
        </w:tc>
        <w:tc>
          <w:tcPr>
            <w:tcW w:type="dxa" w:w="420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Morningstar DBRS — Starwood Retail Property Trust 2014-STAR (non-collateral anchors)</w:t>
            </w:r>
          </w:p>
        </w:tc>
        <w:tc>
          <w:tcPr>
            <w:tcW w:type="dxa" w:w="4660"/>
            <w:tcBorders>
              <w:top w:val="single" w:color="C9CED6" w:sz="4"/>
              <w:left w:val="single" w:color="C9CED6" w:sz="4"/>
              <w:bottom w:val="single" w:color="C9CED6" w:sz="4"/>
              <w:right w:val="single" w:color="C9CED6" w:sz="4"/>
            </w:tcBorders>
            <w:shd w:fill="F3F5F8"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https://dbrs.morningstar.com/research/431640/morningstar-dbrs-confirms-credit-ratings-on-starwood-retail-property-trust-2014-star</w:t>
            </w:r>
          </w:p>
        </w:tc>
      </w:tr>
      <w:tr>
        <w:trPr>
          <w:cantSplit/>
        </w:trPr>
        <w:tc>
          <w:tcPr>
            <w:tcW w:type="dxa" w:w="5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39</w:t>
            </w:r>
          </w:p>
        </w:tc>
        <w:tc>
          <w:tcPr>
            <w:tcW w:type="dxa" w:w="420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CBRE Group — press release / 8-K: acquisition of Industrious, creation of BOE segment (14 Jan 2025)</w:t>
            </w:r>
          </w:p>
        </w:tc>
        <w:tc>
          <w:tcPr>
            <w:tcW w:type="dxa" w:w="4660"/>
            <w:tcBorders>
              <w:top w:val="single" w:color="C9CED6" w:sz="4"/>
              <w:left w:val="single" w:color="C9CED6" w:sz="4"/>
              <w:bottom w:val="single" w:color="C9CED6" w:sz="4"/>
              <w:right w:val="single" w:color="C9CED6" w:sz="4"/>
            </w:tcBorders>
            <w:shd w:fill="FFFFFF" w:color="auto" w:val="clear"/>
            <w:tcMar>
              <w:top w:type="dxa" w:w="70"/>
              <w:left w:type="dxa" w:w="100"/>
              <w:bottom w:type="dxa" w:w="70"/>
              <w:right w:type="dxa" w:w="100"/>
            </w:tcMar>
          </w:tcPr>
          <w:p>
            <w:pPr>
              <w:spacing w:after="40" w:line="260"/>
            </w:pPr>
            <w:r>
              <w:rPr>
                <w:rFonts w:ascii="Calibri" w:cs="Calibri" w:eastAsia="Calibri" w:hAnsi="Calibri"/>
                <w:b w:val="false"/>
                <w:bCs w:val="false"/>
                <w:color w:val="222222"/>
                <w:sz w:val="17"/>
                <w:szCs w:val="17"/>
              </w:rPr>
              <w:t xml:space="preserve">https://ir.cbre.com/press-releases/detail/245/cbre-group-to-acquire-industrious-create-new-business</w:t>
            </w:r>
          </w:p>
        </w:tc>
      </w:tr>
    </w:tbl>
    <w:p>
      <w:pPr>
        <w:spacing w:after="120"/>
      </w:pPr>
    </w:p>
    <w:p>
      <w:pPr>
        <w:pStyle w:val="Heading2"/>
        <w:spacing w:after="120" w:before="260"/>
      </w:pPr>
      <w:r>
        <w:rPr>
          <w:rFonts w:ascii="Georgia" w:cs="Georgia" w:eastAsia="Georgia" w:hAnsi="Georgia"/>
          <w:b/>
          <w:bCs/>
          <w:color w:val="0F2A44"/>
          <w:sz w:val="26"/>
          <w:szCs w:val="26"/>
        </w:rPr>
        <w:t xml:space="preserve">Appendix C — Glossary items awaiting council definition</w:t>
      </w:r>
    </w:p>
    <w:p>
      <w:pPr>
        <w:pStyle w:val="ListParagraph"/>
        <w:numPr>
          <w:ilvl w:val="0"/>
          <w:numId w:val="3"/>
        </w:numPr>
        <w:spacing w:after="90" w:line="290"/>
      </w:pPr>
      <w:r>
        <w:rPr>
          <w:rFonts w:ascii="Calibri" w:cs="Calibri" w:eastAsia="Calibri" w:hAnsi="Calibri"/>
          <w:b/>
          <w:bCs/>
          <w:sz w:val="22"/>
          <w:szCs w:val="22"/>
        </w:rPr>
        <w:t xml:space="preserve">RevPAM</w:t>
      </w:r>
      <w:r>
        <w:rPr>
          <w:rFonts w:ascii="Calibri" w:cs="Calibri" w:eastAsia="Calibri" w:hAnsi="Calibri"/>
          <w:sz w:val="22"/>
          <w:szCs w:val="22"/>
        </w:rPr>
        <w:t xml:space="preserve"> — per available metre (B) / per available member (D). Item 9.1.</w:t>
      </w:r>
    </w:p>
    <w:p>
      <w:pPr>
        <w:pStyle w:val="ListParagraph"/>
        <w:numPr>
          <w:ilvl w:val="0"/>
          <w:numId w:val="3"/>
        </w:numPr>
        <w:spacing w:after="90" w:line="290"/>
      </w:pPr>
      <w:r>
        <w:rPr>
          <w:rFonts w:ascii="Calibri" w:cs="Calibri" w:eastAsia="Calibri" w:hAnsi="Calibri"/>
          <w:b/>
          <w:bCs/>
          <w:sz w:val="22"/>
          <w:szCs w:val="22"/>
        </w:rPr>
        <w:t xml:space="preserve">PEIT™</w:t>
      </w:r>
      <w:r>
        <w:rPr>
          <w:rFonts w:ascii="Calibri" w:cs="Calibri" w:eastAsia="Calibri" w:hAnsi="Calibri"/>
          <w:sz w:val="22"/>
          <w:szCs w:val="22"/>
        </w:rPr>
        <w:t xml:space="preserve"> — Phygital Estate Investment Trust: REIT-plus-operator wrapper (A, B, E). Relation to PropCo/OpCo/MemberCo (D): item 9.4.</w:t>
      </w:r>
    </w:p>
    <w:p>
      <w:pPr>
        <w:pStyle w:val="ListParagraph"/>
        <w:numPr>
          <w:ilvl w:val="0"/>
          <w:numId w:val="3"/>
        </w:numPr>
        <w:spacing w:after="90" w:line="290"/>
      </w:pPr>
      <w:r>
        <w:rPr>
          <w:rFonts w:ascii="Calibri" w:cs="Calibri" w:eastAsia="Calibri" w:hAnsi="Calibri"/>
          <w:b/>
          <w:bCs/>
          <w:sz w:val="22"/>
          <w:szCs w:val="22"/>
        </w:rPr>
        <w:t xml:space="preserve">Phygital-Ready</w:t>
      </w:r>
      <w:r>
        <w:rPr>
          <w:rFonts w:ascii="Calibri" w:cs="Calibri" w:eastAsia="Calibri" w:hAnsi="Calibri"/>
          <w:sz w:val="22"/>
          <w:szCs w:val="22"/>
        </w:rPr>
        <w:t xml:space="preserve"> — the vanilla-shell delivery spec (E). Spec sheet to be attached to Door 1 term line 5.</w:t>
      </w:r>
    </w:p>
    <w:p>
      <w:pPr>
        <w:pStyle w:val="ListParagraph"/>
        <w:numPr>
          <w:ilvl w:val="0"/>
          <w:numId w:val="3"/>
        </w:numPr>
        <w:spacing w:after="90" w:line="290"/>
      </w:pPr>
      <w:r>
        <w:rPr>
          <w:rFonts w:ascii="Calibri" w:cs="Calibri" w:eastAsia="Calibri" w:hAnsi="Calibri"/>
          <w:b/>
          <w:bCs/>
          <w:sz w:val="22"/>
          <w:szCs w:val="22"/>
        </w:rPr>
        <w:t xml:space="preserve">Bucket 1 / 2 / 3</w:t>
      </w:r>
      <w:r>
        <w:rPr>
          <w:rFonts w:ascii="Calibri" w:cs="Calibri" w:eastAsia="Calibri" w:hAnsi="Calibri"/>
          <w:sz w:val="22"/>
          <w:szCs w:val="22"/>
        </w:rPr>
        <w:t xml:space="preserve"> — pledged / reserve / upside revenue lines (D).</w:t>
      </w:r>
    </w:p>
    <w:p>
      <w:pPr>
        <w:pStyle w:val="ListParagraph"/>
        <w:numPr>
          <w:ilvl w:val="0"/>
          <w:numId w:val="3"/>
        </w:numPr>
        <w:spacing w:after="90" w:line="290"/>
      </w:pPr>
      <w:r>
        <w:rPr>
          <w:rFonts w:ascii="Calibri" w:cs="Calibri" w:eastAsia="Calibri" w:hAnsi="Calibri"/>
          <w:b/>
          <w:bCs/>
          <w:sz w:val="22"/>
          <w:szCs w:val="22"/>
        </w:rPr>
        <w:t xml:space="preserve">LBS</w:t>
      </w:r>
      <w:r>
        <w:rPr>
          <w:rFonts w:ascii="Calibri" w:cs="Calibri" w:eastAsia="Calibri" w:hAnsi="Calibri"/>
          <w:sz w:val="22"/>
          <w:szCs w:val="22"/>
        </w:rPr>
        <w:t xml:space="preserve"> — the lease-backed half of the One Box equation (D). Expansion to be confirmed by the founder.</w:t>
      </w:r>
    </w:p>
    <w:sectPr>
      <w:headerReference w:type="default" r:id="rId7"/>
      <w:footerReference w:type="default" r:id="rId8"/>
      <w:pgSz w:w="12240" w:h="15840" w:orient="portrait"/>
      <w:pgMar w:top="144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5A5A"/>
        <w:sz w:val="16"/>
        <w:szCs w:val="16"/>
      </w:rPr>
      <w:t xml:space="preserve">Every line subject to council approval · Not an offer of securities · Page </w:t>
    </w:r>
    <w:r>
      <w:rPr>
        <w:rFonts w:ascii="Calibri" w:cs="Calibri" w:eastAsia="Calibri" w:hAnsi="Calibri"/>
        <w:color w:val="5A5A5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ED6" w:sz="4" w:space="4"/>
      </w:pBdr>
      <w:jc w:val="right"/>
    </w:pPr>
    <w:r>
      <w:rPr>
        <w:rFonts w:ascii="Calibri" w:cs="Calibri" w:eastAsia="Calibri" w:hAnsi="Calibri"/>
        <w:color w:val="5A5A5A"/>
        <w:sz w:val="16"/>
        <w:szCs w:val="16"/>
      </w:rPr>
      <w:t xml:space="preserve">Value Masters Academy · Founders’ Council Handbook Vol. 1 · The Owner of the Box · working 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300"/>
      </w:pPr>
    </w:lvl>
  </w:abstractNum>
  <w:abstractNum w:abstractNumId="3" w15:restartNumberingAfterBreak="0">
    <w:multiLevelType w:val="hybridMultilevel"/>
    <w:lvl w:ilvl="0" w15:tentative="1">
      <w:start w:val="1"/>
      <w:numFmt w:val="decimal"/>
      <w:lvlText w:val="%1."/>
      <w:lvlJc w:val="left"/>
      <w:pPr>
        <w:ind w:left="540" w:hanging="30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Georgia" w:cs="Georgia" w:eastAsia="Georgia" w:hAnsi="Georgia"/>
      <w:b/>
      <w:bCs/>
      <w:color w:val="0F2A44"/>
      <w:sz w:val="34"/>
      <w:szCs w:val="34"/>
    </w:rPr>
  </w:style>
  <w:style w:type="paragraph" w:styleId="Heading2">
    <w:name w:val="Heading 2"/>
    <w:basedOn w:val="Normal"/>
    <w:next w:val="Normal"/>
    <w:qFormat/>
    <w:pPr>
      <w:spacing w:after="120" w:before="260"/>
      <w:outlineLvl w:val="1"/>
    </w:pPr>
    <w:rPr>
      <w:rFonts w:ascii="Georgia" w:cs="Georgia" w:eastAsia="Georgia" w:hAnsi="Georgia"/>
      <w:b/>
      <w:bCs/>
      <w:color w:val="0F2A44"/>
      <w:sz w:val="26"/>
      <w:szCs w:val="26"/>
    </w:rPr>
  </w:style>
  <w:style w:type="paragraph" w:styleId="Heading3">
    <w:name w:val="Heading 3"/>
    <w:basedOn w:val="Normal"/>
    <w:next w:val="Normal"/>
    <w:qFormat/>
    <w:pPr>
      <w:spacing w:after="80" w:before="200"/>
      <w:outlineLvl w:val="2"/>
    </w:pPr>
    <w:rPr>
      <w:rFonts w:ascii="Calibri" w:cs="Calibri" w:eastAsia="Calibri" w:hAnsi="Calibri"/>
      <w:b/>
      <w:bCs/>
      <w:color w:val="B5651D"/>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Owner of the Box — Founders’ Council Handbook, Vol. 1</dc:title>
  <dc:creator>Value Masters Academy</dc:creator>
  <cp:lastModifiedBy>Un-named</cp:lastModifiedBy>
  <cp:revision>1</cp:revision>
  <dcterms:created xsi:type="dcterms:W3CDTF">2026-08-31T02:53:20.769Z</dcterms:created>
  <dcterms:modified xsi:type="dcterms:W3CDTF">2026-08-31T02:53:20.783Z</dcterms:modified>
</cp:coreProperties>
</file>

<file path=docProps/custom.xml><?xml version="1.0" encoding="utf-8"?>
<Properties xmlns="http://schemas.openxmlformats.org/officeDocument/2006/custom-properties" xmlns:vt="http://schemas.openxmlformats.org/officeDocument/2006/docPropsVTypes"/>
</file>